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02"/>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103"/>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103"/>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left="0" w:right="0" w:firstLine="1120"/>
        <w:jc w:val="both"/>
        <w:keepLines w:val="0"/>
        <w:keepNext w:val="0"/>
        <w:spacing w:before="0" w:beforeAutospacing="0" w:after="0" w:afterAutospacing="0" w:line="360" w:lineRule="auto"/>
        <w:shd w:val="clear" w:color="auto" w:fill="ffffff"/>
        <w:widowControl/>
        <w:rPr>
          <w:rFonts w:hint="eastAsia"/>
        </w:rPr>
        <w:suppressLineNumbers w:val="0"/>
      </w:pPr>
      <w:r>
        <w:rPr>
          <w:rFonts w:hint="eastAsia"/>
        </w:rPr>
        <w:t xml:space="preserve">项目名称：</w:t>
      </w:r>
      <w:r>
        <w:rPr>
          <w:rFonts w:hint="eastAsia" w:ascii="宋体" w:hAnsi="宋体" w:eastAsia="宋体" w:cs="宋体"/>
          <w:sz w:val="28"/>
          <w:szCs w:val="28"/>
          <w:lang w:val="en-US" w:eastAsia="zh-CN" w:bidi="ar-SA"/>
        </w:rPr>
        <w:t xml:space="preserve">常州市金坛第一人民医院数据指挥中心二期项目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eastAsia="Arial"/>
          <w:lang w:eastAsia="zh-CN"/>
        </w:rPr>
        <w:t xml:space="preserve">JSZC-320413-JZCG-G2025-00</w:t>
      </w:r>
      <w:r>
        <w:rPr>
          <w:rFonts w:hint="eastAsia" w:eastAsia="Arial"/>
          <w:lang w:val="en-US" w:eastAsia="zh-CN"/>
        </w:rPr>
        <w:t xml:space="preserve">48</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eastAsia="宋体" w:cs="宋体"/>
          <w:sz w:val="28"/>
          <w:szCs w:val="28"/>
          <w:lang w:val="en-US" w:eastAsia="zh-CN" w:bidi="ar-SA"/>
        </w:rPr>
        <w:t xml:space="preserve">常州市金坛第一人民医院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102"/>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49"/>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4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548"/>
      <w:r/>
      <w:bookmarkStart w:id="9" w:name="_Toc16555"/>
      <w:r/>
      <w:bookmarkStart w:id="10" w:name="_Toc16103"/>
      <w:r/>
      <w:bookmarkStart w:id="11" w:name="_Toc3337"/>
      <w:r/>
      <w:bookmarkStart w:id="12" w:name="_Toc5725"/>
      <w:r/>
      <w:bookmarkStart w:id="13"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3"/>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104"/>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JSZC-320413-JZCG-G2025-0048</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常州市金坛第一人民医院数据指挥中心二期项目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150万元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150万元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07"/>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4"/>
        <w:gridCol w:w="867"/>
        <w:gridCol w:w="800"/>
        <w:gridCol w:w="3654"/>
        <w:gridCol w:w="815"/>
      </w:tblGrid>
      <w:tr>
        <w:trPr>
          <w:trHeight w:val="454"/>
        </w:trPr>
        <w:tc>
          <w:tcPr>
            <w:tcW w:w="3404"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6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宋体" w:hAnsi="宋体" w:eastAsia="宋体" w:cs="宋体"/>
                <w:sz w:val="28"/>
                <w:szCs w:val="28"/>
                <w:lang w:val="en-US" w:eastAsia="zh-CN" w:bidi="ar-SA"/>
              </w:rPr>
              <w:t xml:space="preserve">常州市金坛第一人民医院数据指挥中心二期项目</w:t>
            </w:r>
            <w:r/>
          </w:p>
        </w:tc>
        <w:tc>
          <w:tcPr>
            <w:tcW w:w="867"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color w:val="1d41d5"/>
          <w:spacing w:val="8"/>
          <w:u w:val="single"/>
        </w:rPr>
        <w:t xml:space="preserve">合同签订之日起</w:t>
      </w:r>
      <w:r>
        <w:rPr>
          <w:rFonts w:hint="eastAsia" w:ascii="宋体" w:hAnsi="宋体" w:eastAsia="宋体" w:cs="宋体"/>
          <w:b/>
          <w:color w:val="1d41d5"/>
          <w:spacing w:val="8"/>
          <w:u w:val="single"/>
          <w:lang w:val="en-US" w:eastAsia="zh-CN"/>
        </w:rPr>
        <w:t xml:space="preserve">6</w:t>
      </w:r>
      <w:r>
        <w:rPr>
          <w:rFonts w:hint="eastAsia" w:ascii="宋体" w:hAnsi="宋体" w:eastAsia="宋体" w:cs="宋体"/>
          <w:b/>
          <w:color w:val="1d41d5"/>
          <w:spacing w:val="8"/>
          <w:u w:val="single"/>
        </w:rPr>
        <w:t xml:space="preserve">个月内完成该系统建设</w:t>
      </w:r>
      <w:r>
        <w:rPr>
          <w:rFonts w:hint="eastAsia" w:ascii="宋体" w:hAnsi="宋体" w:eastAsia="宋体" w:cs="宋体"/>
          <w:b/>
          <w:color w:val="1d41d5"/>
          <w:spacing w:val="8"/>
          <w:u w:val="single"/>
          <w:lang w:val="en-US" w:eastAsia="zh-CN"/>
        </w:rPr>
        <w:t xml:space="preserve">并交付使用，之后</w:t>
      </w:r>
      <w:r>
        <w:rPr>
          <w:rFonts w:hint="eastAsia" w:ascii="宋体" w:hAnsi="宋体" w:eastAsia="宋体" w:cs="宋体"/>
          <w:b/>
          <w:color w:val="1d41d5"/>
          <w:spacing w:val="8"/>
          <w:u w:val="single"/>
        </w:rPr>
        <w:t xml:space="preserve">试运行</w:t>
      </w:r>
      <w:r>
        <w:rPr>
          <w:rFonts w:hint="eastAsia" w:ascii="宋体" w:hAnsi="宋体" w:eastAsia="宋体" w:cs="宋体"/>
          <w:b/>
          <w:color w:val="1d41d5"/>
          <w:spacing w:val="8"/>
          <w:u w:val="single"/>
          <w:lang w:val="en-US" w:eastAsia="zh-CN"/>
        </w:rPr>
        <w:t xml:space="preserve">3个月并在此日期之内由采购人通过验收</w:t>
      </w:r>
      <w:r>
        <w:rPr>
          <w:rFonts w:hint="eastAsia" w:ascii="宋体" w:hAnsi="宋体" w:eastAsia="宋体" w:cs="宋体"/>
          <w:b/>
          <w:color w:val="1d41d5"/>
          <w:spacing w:val="8"/>
          <w:u w:val="single"/>
        </w:rPr>
        <w:t xml:space="preserve">。</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04"/>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04"/>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104"/>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07"/>
      <w:r/>
      <w:bookmarkStart w:id="17" w:name="_Toc28359084"/>
      <w:r/>
      <w:bookmarkStart w:id="18" w:name="_Toc35393794"/>
      <w:r/>
      <w:bookmarkStart w:id="19" w:name="_Toc353936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29</w:t>
      </w:r>
      <w:r>
        <w:rPr>
          <w:rFonts w:hint="eastAsia" w:ascii="宋体" w:hAnsi="宋体" w:cs="宋体"/>
          <w:color w:val="333333"/>
          <w:spacing w:val="8"/>
          <w:sz w:val="28"/>
          <w:szCs w:val="28"/>
          <w:u w:val="none"/>
          <w:lang w:val="en-US" w:eastAsia="zh-CN"/>
        </w:rPr>
        <w:t xml:space="preserve">-</w:t>
      </w:r>
      <w:r>
        <w:rPr>
          <w:rFonts w:hint="eastAsia" w:ascii="宋体" w:hAnsi="宋体" w:cs="宋体"/>
          <w:color w:val="333333"/>
          <w:spacing w:val="8"/>
          <w:sz w:val="28"/>
          <w:szCs w:val="28"/>
          <w:lang w:val="en-US" w:eastAsia="zh-CN"/>
        </w:rPr>
        <w:t xml:space="preserve">14</w:t>
      </w:r>
      <w:r>
        <w:rPr>
          <w:rFonts w:hint="eastAsia" w:ascii="宋体" w:hAnsi="宋体" w:eastAsia="宋体" w:cs="宋体"/>
          <w:color w:val="333333"/>
          <w:spacing w:val="8"/>
          <w:sz w:val="28"/>
          <w:szCs w:val="28"/>
          <w:lang w:val="en-US" w:eastAsia="zh-CN"/>
        </w:rPr>
        <w:t xml:space="preserve">:00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04"/>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04"/>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04"/>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常州市金坛第一人民医院</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刘先生</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0519-82885505</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常州市金坛区金坛大道500号</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29"/>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29"/>
          <w:rFonts w:hint="eastAsia" w:ascii="宋体" w:hAnsi="宋体" w:eastAsia="宋体" w:cs="宋体"/>
          <w:sz w:val="28"/>
          <w:szCs w:val="28"/>
        </w:rPr>
      </w:pPr>
      <w:r/>
      <w:bookmarkStart w:id="21" w:name="_Toc16227"/>
      <w:r/>
      <w:bookmarkStart w:id="22" w:name="_Toc29535"/>
      <w:r/>
      <w:bookmarkStart w:id="23" w:name="_Toc7653"/>
      <w:r/>
      <w:bookmarkStart w:id="24" w:name="_Toc11125"/>
      <w:r/>
      <w:bookmarkStart w:id="25" w:name="_Toc2993"/>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pStyle w:val="1103"/>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Style w:val="1129"/>
          <w:rFonts w:hint="eastAsia" w:ascii="宋体" w:hAnsi="宋体" w:eastAsia="宋体" w:cs="宋体"/>
          <w:sz w:val="28"/>
          <w:szCs w:val="28"/>
        </w:rPr>
      </w:r>
      <w:r>
        <w:rPr>
          <w:rStyle w:val="1129"/>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9"/>
          <w:rFonts w:hint="eastAsia" w:ascii="宋体" w:hAnsi="宋体" w:eastAsia="宋体" w:cs="宋体"/>
          <w:sz w:val="28"/>
          <w:szCs w:val="28"/>
        </w:rPr>
      </w:pPr>
      <w:r>
        <w:rPr>
          <w:rFonts w:hint="eastAsia" w:ascii="宋体" w:hAnsi="宋体" w:eastAsia="宋体" w:cs="宋体"/>
          <w:sz w:val="28"/>
          <w:szCs w:val="28"/>
        </w:rPr>
      </w:r>
      <w:r/>
    </w:p>
    <w:p>
      <w:pPr>
        <w:pStyle w:val="1104"/>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0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常州市金坛第一人民医院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150</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55"/>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56"/>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104"/>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04"/>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104"/>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rPr>
          <w:rFonts w:hint="eastAsia" w:ascii="宋体" w:hAnsi="宋体" w:eastAsia="宋体" w:cs="宋体"/>
          <w:sz w:val="28"/>
          <w:szCs w:val="28"/>
          <w:lang w:val="en-US" w:eastAsia="zh-CN"/>
        </w:rPr>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rPr>
          <w:rFonts w:hint="eastAsia" w:ascii="宋体" w:hAnsi="宋体" w:eastAsia="宋体" w:cs="宋体"/>
          <w:sz w:val="28"/>
          <w:szCs w:val="28"/>
          <w:lang w:val="en-US" w:eastAsia="zh-CN"/>
        </w:rPr>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104"/>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104"/>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104"/>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rPr>
          <w:rStyle w:val="1130"/>
          <w:rFonts w:hint="eastAsia"/>
          <w:lang w:val="en-US" w:eastAsia="zh-CN"/>
        </w:rPr>
        <w:br w:type="page" w:clear="all"/>
      </w:r>
      <w:r>
        <w:rPr>
          <w:rFonts w:hint="eastAsia" w:ascii="宋体" w:hAnsi="宋体" w:eastAsia="宋体" w:cs="宋体"/>
          <w:sz w:val="28"/>
          <w:szCs w:val="28"/>
          <w:lang w:val="en-US" w:eastAsia="zh-CN"/>
        </w:rPr>
      </w:r>
      <w:r/>
    </w:p>
    <w:p>
      <w:pPr>
        <w:ind w:left="0" w:firstLine="3935"/>
        <w:jc w:val="both"/>
        <w:keepLines w:val="0"/>
        <w:keepNext w:val="0"/>
        <w:pageBreakBefore w:val="0"/>
        <w:spacing w:line="360" w:lineRule="auto"/>
        <w:widowControl w:val="off"/>
        <w:rPr>
          <w:rStyle w:val="1130"/>
          <w:rFonts w:hint="eastAsia"/>
          <w:lang w:val="en-US" w:eastAsia="zh-CN"/>
        </w:rPr>
        <w:outlineLvl w:val="9"/>
      </w:pPr>
      <w:r>
        <w:rPr>
          <w:rStyle w:val="1130"/>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3"/>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4"/>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104"/>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0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6649"/>
      <w:r/>
      <w:bookmarkStart w:id="27" w:name="_Toc15648"/>
      <w:r/>
      <w:bookmarkStart w:id="28" w:name="_Toc19240"/>
      <w:r/>
      <w:bookmarkStart w:id="29" w:name="_Toc7340"/>
      <w:r/>
      <w:bookmarkStart w:id="30" w:name="_Toc18937"/>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3"/>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4"/>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104"/>
        <w:spacing w:line="240" w:lineRule="auto"/>
        <w:rPr>
          <w:rFonts w:hint="eastAsia"/>
          <w:lang w:val="en-US" w:eastAsia="zh-CN"/>
        </w:rPr>
      </w:pPr>
      <w:r>
        <w:rPr>
          <w:rFonts w:hint="eastAsia"/>
          <w:lang w:val="en-US" w:eastAsia="zh-CN"/>
        </w:rPr>
        <w:t xml:space="preserve">第二节  符合性审查要求</w:t>
      </w:r>
      <w:r/>
    </w:p>
    <w:tbl>
      <w:tblPr>
        <w:tblStyle w:val="110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754"/>
        <w:gridCol w:w="218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75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1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14.3不符合法律、法规和招标文件规定的其他实质性要求的。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104"/>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2.根据苏财购〔2025〕62号文件规定，评标委员会应针对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（一）评审过程中出现下列情形之一的，评审委员会应当启</w:t>
      </w:r>
      <w:r>
        <w:rPr>
          <w:rFonts w:hint="default" w:ascii="宋体" w:hAnsi="宋体" w:eastAsia="宋体" w:cs="宋体"/>
          <w:sz w:val="28"/>
          <w:szCs w:val="28"/>
          <w:lang w:val="en-US" w:eastAsia="zh-CN"/>
        </w:rPr>
        <w:t xml:space="preserve">动异常低价投标审查程序：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投标报价低于采购项目预算 50% 的，即投标报价&lt;采购项目预算×50%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投标报价低于采购项目最高限价 45% 的，即投标报价&lt;采购项目最高限价×45%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default" w:ascii="宋体" w:hAnsi="宋体" w:eastAsia="宋体" w:cs="宋体"/>
          <w:sz w:val="28"/>
          <w:szCs w:val="28"/>
          <w:lang w:val="en-US" w:eastAsia="zh-CN"/>
        </w:rPr>
        <w:t xml:space="preserve">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委员会认定的供应商报价过低、有可能影响产品质量或者不能诚信履约的其他情形。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default" w:ascii="宋体" w:hAnsi="宋体" w:eastAsia="宋体" w:cs="宋体"/>
          <w:sz w:val="28"/>
          <w:szCs w:val="28"/>
          <w:lang w:val="en-US" w:eastAsia="zh-CN"/>
        </w:rPr>
        <w:t xml:space="preserve">（二）启动异常低价投标审查后，评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委员会应当要求相关供应商在评标现场合理的时间内，提供项目具体成本测算等与报价合理性相关的书面说明及相关证明材料，对投标价格作出解释，由评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委员会应当将其作为无效投标</w:t>
      </w:r>
      <w:r>
        <w:rPr>
          <w:rFonts w:hint="eastAsia" w:ascii="宋体" w:hAnsi="宋体" w:cs="宋体"/>
          <w:sz w:val="28"/>
          <w:szCs w:val="28"/>
          <w:lang w:val="en-US" w:eastAsia="zh-CN"/>
        </w:rPr>
        <w:t xml:space="preserve">文件</w:t>
      </w:r>
      <w:r>
        <w:rPr>
          <w:rFonts w:hint="default" w:ascii="宋体" w:hAnsi="宋体" w:eastAsia="宋体" w:cs="宋体"/>
          <w:sz w:val="28"/>
          <w:szCs w:val="28"/>
          <w:lang w:val="en-US" w:eastAsia="zh-CN"/>
        </w:rPr>
        <w:t xml:space="preserve">处理。审查相关情况应当在评审报告中进行记录。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104"/>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104"/>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1107"/>
        <w:tblW w:w="50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9"/>
        <w:gridCol w:w="1133"/>
        <w:gridCol w:w="5041"/>
        <w:gridCol w:w="809"/>
        <w:gridCol w:w="630"/>
        <w:gridCol w:w="757"/>
        <w:gridCol w:w="755"/>
      </w:tblGrid>
      <w:tr>
        <w:trPr>
          <w:trHeight w:val="420"/>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序号</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评分因素</w:t>
            </w:r>
            <w:r/>
          </w:p>
        </w:tc>
        <w:tc>
          <w:tcPr>
            <w:tcMar>
              <w:left w:w="108" w:type="dxa"/>
              <w:top w:w="0" w:type="dxa"/>
              <w:right w:w="108" w:type="dxa"/>
              <w:bottom w:w="0" w:type="dxa"/>
            </w:tcMar>
            <w:tcW w:w="258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评分标准和评审材料</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最低分值</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是否客观分</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1</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价格</w:t>
            </w:r>
            <w:r/>
          </w:p>
        </w:tc>
        <w:tc>
          <w:tcPr>
            <w:tcMar>
              <w:left w:w="108" w:type="dxa"/>
              <w:top w:w="0" w:type="dxa"/>
              <w:right w:w="108" w:type="dxa"/>
              <w:bottom w:w="0" w:type="dxa"/>
            </w:tcMar>
            <w:tcW w:w="2585"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18</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sz w:val="28"/>
                <w:szCs w:val="28"/>
                <w:lang w:val="en-US" w:eastAsia="zh-CN"/>
              </w:rPr>
              <w:t xml:space="preserve">2</w:t>
            </w:r>
            <w:r/>
          </w:p>
        </w:tc>
        <w:tc>
          <w:tcPr>
            <w:tcMar>
              <w:left w:w="108" w:type="dxa"/>
              <w:top w:w="0" w:type="dxa"/>
              <w:right w:w="108" w:type="dxa"/>
              <w:bottom w:w="0" w:type="dxa"/>
            </w:tcMar>
            <w:tcW w:w="58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40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否</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sz w:val="28"/>
                <w:szCs w:val="28"/>
                <w:lang w:val="en-US" w:eastAsia="zh-CN"/>
              </w:rPr>
              <w:t xml:space="preserve">2.1</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sz w:val="28"/>
                <w:szCs w:val="28"/>
              </w:rPr>
              <w:t xml:space="preserve">技术方案</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（一）评分内容：</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投标人须根据技术参数部分提供详细的技术方案，包含但不限于以下内容：</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（1）项目背景分析；</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（2）对需求的理解；</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（3）对招标文件技术需求的功能说明。</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（二）评审依据：</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1.考察以上内容,每满足任意一项内容得20%，最高得60%。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（1）方案总体设计科学合理对招标要求应答完整、清晰、有针对性的，评审为优加40%；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（2）方案总体设计较合理的，评审为良加20%；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（3）方案总体设计一般的，评审为中加10%；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（4）方案总体设计不完整的，评审为差不加分。</w:t>
            </w:r>
            <w:r/>
          </w:p>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color w:val="000000"/>
                <w:sz w:val="28"/>
                <w:szCs w:val="28"/>
                <w:lang w:val="en-US" w:eastAsia="zh-CN"/>
              </w:rPr>
              <w:t xml:space="preserve">（5）不提供不得分。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否</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val="0"/>
                <w:bCs/>
                <w:sz w:val="28"/>
                <w:szCs w:val="28"/>
                <w:lang w:val="en-US" w:eastAsia="zh-CN"/>
              </w:rPr>
              <w:suppressLineNumbers w:val="0"/>
            </w:pPr>
            <w:r>
              <w:rPr>
                <w:rFonts w:hint="eastAsia" w:ascii="宋体" w:hAnsi="宋体" w:eastAsia="宋体" w:cs="宋体"/>
                <w:b/>
                <w:sz w:val="28"/>
                <w:szCs w:val="28"/>
                <w:lang w:val="en-US" w:eastAsia="zh-CN"/>
              </w:rPr>
              <w:t xml:space="preserve">2.2</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cs="宋体"/>
                <w:b/>
                <w:bCs w:val="0"/>
                <w:sz w:val="28"/>
                <w:szCs w:val="28"/>
              </w:rPr>
              <w:t xml:space="preserve">实施方案</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（一）评分内容：</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投标人具有成熟可靠的项目实施方案、并具有必要的质量管理措施，能保证项目正常稳定实施并保证产品稳定运行，包含但不限于以下内容：</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（1）项目管理方案；</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（2）人员部署方案；</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（3）系统运行方案；</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（4）验收方案。</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（二）评审依据：</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1.考察以上内容,每满足任意一项内容得20%，最高得80%。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（1）方案完整详细，科学合理、贴合实际，针对性强的，评审为优加20%；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（2）方案较完整，较科学合理、贴合实际，针对性较强的，评审为良加10%；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（3）方案简单、科学合理性一般，针对性一般的，评审为中加5%；</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（4）方案总体设计不完整的，评审为差不加分。</w:t>
            </w:r>
            <w:r/>
          </w:p>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color w:val="000000"/>
                <w:sz w:val="28"/>
                <w:szCs w:val="28"/>
                <w:lang w:val="en-US" w:eastAsia="zh-CN"/>
              </w:rPr>
              <w:t xml:space="preserve">（5）不提供不得分。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否</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val="0"/>
                <w:bCs/>
                <w:sz w:val="28"/>
                <w:szCs w:val="28"/>
                <w:lang w:val="en-US" w:eastAsia="zh-CN"/>
              </w:rPr>
              <w:suppressLineNumbers w:val="0"/>
            </w:pPr>
            <w:r>
              <w:rPr>
                <w:rFonts w:hint="eastAsia" w:ascii="宋体" w:hAnsi="宋体" w:eastAsia="宋体" w:cs="宋体"/>
                <w:b/>
                <w:sz w:val="28"/>
                <w:szCs w:val="28"/>
                <w:lang w:val="en-US" w:eastAsia="zh-CN"/>
              </w:rPr>
              <w:t xml:space="preserve">2.3</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val="0"/>
                <w:sz w:val="28"/>
                <w:szCs w:val="28"/>
              </w:rPr>
              <w:suppressLineNumbers w:val="0"/>
            </w:pPr>
            <w:r>
              <w:rPr>
                <w:rFonts w:hint="eastAsia" w:ascii="宋体" w:hAnsi="宋体" w:cs="宋体"/>
                <w:b/>
                <w:sz w:val="28"/>
                <w:szCs w:val="28"/>
              </w:rPr>
              <w:t xml:space="preserve">售后服务</w:t>
            </w:r>
            <w:r>
              <w:rPr>
                <w:rFonts w:hint="eastAsia" w:ascii="宋体" w:hAnsi="宋体" w:cs="宋体"/>
                <w:b/>
                <w:sz w:val="28"/>
                <w:szCs w:val="28"/>
                <w:lang w:val="en-US" w:eastAsia="zh-CN"/>
              </w:rPr>
              <w:t xml:space="preserve">方案</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（一）评分内容：</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投标人针对本项目提供详细的售后服务方案，包含但不限于以下内容：</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（1）运维服务方案；</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（2）应急响应方案；</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（3）保障方案。</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（二）评审依据：</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1.考察以上内容,每满足任意一项内容得20%，最高得60%。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（1）方案整体全面、完整的，评审为优加40%；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（2）方案较为全面、完整的，评审为良加20%；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（3）方案不够详细，较为粗略的，评审为中加10%；</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（4）方案总体设计不完整的，评审为差不加分。</w:t>
            </w:r>
            <w:r/>
          </w:p>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（5）不提供不得分。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sz w:val="28"/>
                <w:szCs w:val="28"/>
                <w:lang w:val="en-US" w:eastAsia="zh-CN"/>
              </w:rPr>
              <w:suppressLineNumbers w:val="0"/>
            </w:pPr>
            <w:r>
              <w:rPr>
                <w:rFonts w:hint="eastAsia" w:ascii="宋体" w:hAnsi="宋体" w:eastAsia="宋体" w:cs="宋体"/>
                <w:b/>
                <w:sz w:val="28"/>
                <w:szCs w:val="28"/>
                <w:lang w:val="en-US" w:eastAsia="zh-CN"/>
              </w:rPr>
              <w:t xml:space="preserve">否</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2.4</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培训方案</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（一）评分内容：</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投标人针对本项目提供详细的培训方案，包含但不限于以下内容：</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（1）培训内容；</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（2）培训时间、地点安排；</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（3）培训目标、培训人数、和培训方法。</w:t>
            </w:r>
            <w:r/>
          </w:p>
          <w:p>
            <w:pPr>
              <w:ind w:left="0" w:right="0" w:firstLine="0"/>
              <w:jc w:val="left"/>
              <w:keepLines w:val="0"/>
              <w:keepNext w:val="0"/>
              <w:pageBreakBefore w:val="0"/>
              <w:spacing w:before="0" w:beforeAutospacing="0" w:after="0" w:afterAutospacing="0" w:line="480" w:lineRule="exact"/>
              <w:widowControl/>
              <w:rPr>
                <w:rFonts w:hint="default"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（二）评审依据：</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1.考察以上内容,每满足任意一项内容得20%，最高得60%。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lang w:val="en-US"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（1）方案内容完整，可行性强、思路清晰、有重难点、结合实际分析表述详尽，评审为优加</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（2）方案内容较完整，可行性较强、思路较清晰、有重难点、结合实际分析表述较详尽，评审为良加</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0%;</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（3）方案内容一般，思路一般，可行性一般，评审为中加</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（5）未提供的不得分。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商务部分（客观分）</w:t>
            </w:r>
            <w:r/>
          </w:p>
        </w:tc>
        <w:tc>
          <w:tcPr>
            <w:tcMar>
              <w:left w:w="108" w:type="dxa"/>
              <w:top w:w="0" w:type="dxa"/>
              <w:right w:w="108" w:type="dxa"/>
              <w:bottom w:w="0" w:type="dxa"/>
            </w:tcMar>
            <w:tcW w:w="2585"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42</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3．1</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认证证书</w:t>
            </w:r>
            <w:r/>
          </w:p>
        </w:tc>
        <w:tc>
          <w:tcPr>
            <w:tcMar>
              <w:left w:w="108" w:type="dxa"/>
              <w:top w:w="0" w:type="dxa"/>
              <w:right w:w="108" w:type="dxa"/>
              <w:bottom w:w="0" w:type="dxa"/>
            </w:tcMar>
            <w:tcW w:w="2585" w:type="pct"/>
            <w:vAlign w:val="center"/>
            <w:textDirection w:val="lrTb"/>
            <w:noWrap w:val="false"/>
          </w:tcPr>
          <w:p>
            <w:pPr>
              <w:ind w:left="0" w:right="0" w:firstLine="0"/>
              <w:keepLines w:val="0"/>
              <w:keepNext w:val="0"/>
              <w:pageBreakBefore w:val="0"/>
              <w:spacing w:before="0" w:beforeAutospacing="0" w:after="0" w:afterAutospacing="0" w:line="480" w:lineRule="exact"/>
              <w:rPr>
                <w:rFonts w:hint="default" w:ascii="宋体" w:hAnsi="宋体" w:eastAsia="宋体" w:cs="宋体"/>
                <w:b/>
                <w:bCs w:val="0"/>
                <w:color w:val="000000"/>
                <w:spacing w:val="8"/>
                <w:sz w:val="28"/>
                <w:szCs w:val="28"/>
                <w:lang w:val="en-US" w:eastAsia="zh-CN"/>
              </w:rPr>
              <w:suppressLineNumbers w:val="0"/>
            </w:pPr>
            <w:r>
              <w:rPr>
                <w:rFonts w:hint="eastAsia" w:ascii="宋体" w:hAnsi="宋体" w:eastAsia="宋体" w:cs="宋体"/>
                <w:b/>
                <w:bCs w:val="0"/>
                <w:color w:val="000000"/>
                <w:spacing w:val="8"/>
                <w:sz w:val="28"/>
                <w:szCs w:val="28"/>
                <w:lang w:val="en-US" w:eastAsia="zh-CN"/>
              </w:rPr>
              <w:t xml:space="preserve">投标人具有国家认可且在有效期内的：</w:t>
            </w:r>
            <w:r/>
          </w:p>
          <w:p>
            <w:pPr>
              <w:numPr>
                <w:ilvl w:val="0"/>
                <w:numId w:val="0"/>
              </w:numPr>
              <w:ind w:right="0"/>
              <w:keepLines w:val="0"/>
              <w:keepNext w:val="0"/>
              <w:pageBreakBefore w:val="0"/>
              <w:spacing w:before="0" w:beforeAutospacing="0" w:after="0" w:afterAutospacing="0" w:line="48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sz w:val="28"/>
                <w:szCs w:val="28"/>
                <w:lang w:val="en-US" w:eastAsia="zh-CN" w:bidi="ar-SA"/>
              </w:rPr>
              <w:t xml:space="preserve">质量管理体系认证证书得2分；</w:t>
            </w:r>
            <w:r/>
          </w:p>
          <w:p>
            <w:pPr>
              <w:numPr>
                <w:ilvl w:val="0"/>
                <w:numId w:val="0"/>
              </w:num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2.信息技术服务管理体系认证证书得2分；</w:t>
            </w:r>
            <w:r/>
          </w:p>
          <w:p>
            <w:pPr>
              <w:numPr>
                <w:ilvl w:val="0"/>
                <w:numId w:val="0"/>
              </w:num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3.信息安全管理体系认证证书得2分；</w:t>
            </w:r>
            <w:r/>
          </w:p>
          <w:p>
            <w:pPr>
              <w:numPr>
                <w:ilvl w:val="0"/>
                <w:numId w:val="0"/>
              </w:num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bidi="ar-SA"/>
              </w:rPr>
              <w:t xml:space="preserve">4.环境管理体系认证证书得2分；</w:t>
            </w:r>
            <w:r/>
          </w:p>
          <w:p>
            <w:pPr>
              <w:numPr>
                <w:ilvl w:val="0"/>
                <w:numId w:val="0"/>
              </w:num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bCs/>
                <w:color w:val="000000"/>
                <w:spacing w:val="8"/>
                <w:sz w:val="28"/>
                <w:szCs w:val="28"/>
                <w:lang w:eastAsia="zh-CN"/>
              </w:rPr>
              <w:outlineLvl w:val="9"/>
              <w:suppressLineNumbers w:val="0"/>
            </w:pPr>
            <w:r>
              <w:rPr>
                <w:rFonts w:hint="eastAsia" w:ascii="宋体" w:hAnsi="宋体" w:eastAsia="宋体" w:cs="宋体"/>
                <w:sz w:val="28"/>
                <w:szCs w:val="28"/>
                <w:lang w:val="en-US" w:eastAsia="zh-CN" w:bidi="ar-SA"/>
              </w:rPr>
              <w:t xml:space="preserve">5.职业健康安全管理体系认证证书得2分；</w:t>
            </w:r>
            <w:r/>
          </w:p>
          <w:p>
            <w:pPr>
              <w:ind w:left="0" w:right="0" w:firstLine="0"/>
              <w:keepLines w:val="0"/>
              <w:keepNext w:val="0"/>
              <w:pageBreakBefore w:val="0"/>
              <w:spacing w:before="0" w:beforeAutospacing="0" w:after="0" w:afterAutospacing="0" w:line="480" w:lineRule="exact"/>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lang w:val="en-US" w:eastAsia="zh-CN"/>
              </w:rPr>
              <w:t xml:space="preserve">6</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售后服务体系完善程度认证证书得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keepLines w:val="0"/>
              <w:keepNext w:val="0"/>
              <w:pageBreakBefore w:val="0"/>
              <w:spacing w:before="0" w:beforeAutospacing="0" w:after="0" w:afterAutospacing="0" w:line="480" w:lineRule="exact"/>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lang w:val="en-US" w:eastAsia="zh-CN"/>
              </w:rPr>
              <w:t xml:space="preserve">7</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大数据安全管理体系认证证书得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both"/>
              <w:keepLines w:val="0"/>
              <w:keepNext w:val="0"/>
              <w:pageBreakBefore w:val="0"/>
              <w:spacing w:before="0" w:beforeAutospacing="0" w:after="0" w:afterAutospacing="0" w:line="480" w:lineRule="exact"/>
              <w:widowControl w:val="off"/>
              <w:rPr>
                <w:rFonts w:hint="default" w:ascii="楷体_GB2312" w:hAnsi="Arial" w:eastAsia="宋体" w:cs="Times New Roman"/>
                <w:sz w:val="28"/>
                <w:szCs w:val="20"/>
                <w:lang w:val="en-US" w:eastAsia="zh-CN" w:bidi="ar-SA"/>
              </w:rPr>
              <w:suppressLineNumbers w:val="0"/>
            </w:pPr>
            <w:r>
              <w:rPr>
                <w:rFonts w:hint="eastAsia" w:ascii="宋体" w:hAnsi="宋体" w:eastAsia="宋体" w:cs="宋体"/>
                <w:bCs/>
                <w:color w:val="000000"/>
                <w:spacing w:val="8"/>
                <w:sz w:val="28"/>
                <w:szCs w:val="28"/>
                <w:lang w:val="en-US" w:eastAsia="zh-CN" w:bidi="ar-SA"/>
              </w:rPr>
              <w:t xml:space="preserve">本大项最高得14分。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rPr>
              <w:t xml:space="preserve">注：1.提供相关证书材料。</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ff0000"/>
                <w:sz w:val="28"/>
                <w:szCs w:val="28"/>
                <w:highlight w:val="none"/>
                <w:lang w:val="en-US" w:eastAsia="zh-CN"/>
              </w:rPr>
              <w:t xml:space="preserve">    </w:t>
            </w:r>
            <w:r>
              <w:rPr>
                <w:rFonts w:hint="eastAsia" w:ascii="宋体" w:hAnsi="宋体" w:eastAsia="宋体" w:cs="宋体"/>
                <w:b/>
                <w:bCs/>
                <w:color w:val="ff0000"/>
                <w:sz w:val="28"/>
                <w:szCs w:val="28"/>
                <w:highlight w:val="none"/>
              </w:rPr>
              <w:t xml:space="preserve">2.未按要求提供或提供不清晰导致专家无法判断的不得分。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14</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3.2</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项目组成员</w:t>
            </w:r>
            <w:r/>
          </w:p>
        </w:tc>
        <w:tc>
          <w:tcPr>
            <w:tcMar>
              <w:left w:w="108" w:type="dxa"/>
              <w:top w:w="0" w:type="dxa"/>
              <w:right w:w="108" w:type="dxa"/>
              <w:bottom w:w="0" w:type="dxa"/>
            </w:tcMar>
            <w:tcW w:w="2585"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bCs w:val="0"/>
                <w:color w:val="000000"/>
                <w:spacing w:val="8"/>
                <w:sz w:val="28"/>
                <w:szCs w:val="28"/>
              </w:rPr>
              <w:suppressLineNumbers w:val="0"/>
            </w:pPr>
            <w:r>
              <w:rPr>
                <w:rFonts w:hint="eastAsia" w:ascii="宋体" w:hAnsi="宋体" w:eastAsia="宋体" w:cs="宋体"/>
                <w:b/>
                <w:bCs w:val="0"/>
                <w:color w:val="000000"/>
                <w:spacing w:val="8"/>
                <w:sz w:val="28"/>
                <w:szCs w:val="28"/>
              </w:rPr>
              <w:t xml:space="preserve">1</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rPr>
              <w:t xml:space="preserve">投标人拟派驻本项目的项目负责人</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rPr>
              <w:t xml:space="preserve">限评1人</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lang w:val="en-US" w:eastAsia="zh-CN"/>
              </w:rPr>
              <w:t xml:space="preserve">不得兼职</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lang w:val="en-US" w:eastAsia="zh-CN"/>
              </w:rPr>
              <w:t xml:space="preserve">具有</w:t>
            </w:r>
            <w:r>
              <w:rPr>
                <w:rFonts w:hint="eastAsia" w:ascii="宋体" w:hAnsi="宋体" w:eastAsia="宋体" w:cs="宋体"/>
                <w:b/>
                <w:bCs w:val="0"/>
                <w:color w:val="000000"/>
                <w:spacing w:val="8"/>
                <w:sz w:val="28"/>
                <w:szCs w:val="28"/>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（1）系统集成项目管理工程师中级的得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系统集成项目管理工程师高级的得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分，最高得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（2）软件技术开发工程师中级的得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软件技术开发工程师高级的得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分，最高得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lang w:eastAsia="zh-CN"/>
              </w:rPr>
              <w:suppressLineNumbers w:val="0"/>
            </w:pPr>
            <w:r>
              <w:rPr>
                <w:rFonts w:hint="eastAsia" w:ascii="宋体" w:hAnsi="宋体" w:eastAsia="宋体" w:cs="宋体"/>
                <w:bCs/>
                <w:color w:val="000000"/>
                <w:spacing w:val="8"/>
                <w:sz w:val="28"/>
                <w:szCs w:val="28"/>
              </w:rPr>
              <w:t xml:space="preserve">（3）网络工程师中级的得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网络工程师高级的得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最高得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val="0"/>
                <w:bCs/>
                <w:color w:val="000000"/>
                <w:spacing w:val="8"/>
                <w:sz w:val="28"/>
                <w:szCs w:val="28"/>
                <w:lang w:eastAsia="zh-CN"/>
              </w:rPr>
              <w:suppressLineNumbers w:val="0"/>
            </w:pPr>
            <w:r>
              <w:rPr>
                <w:rFonts w:hint="eastAsia" w:ascii="宋体" w:hAnsi="宋体" w:eastAsia="宋体" w:cs="宋体"/>
                <w:b w:val="0"/>
                <w:bCs/>
                <w:color w:val="000000"/>
                <w:spacing w:val="8"/>
                <w:sz w:val="28"/>
                <w:szCs w:val="28"/>
              </w:rPr>
              <w:t xml:space="preserve">本项最高</w:t>
            </w:r>
            <w:r>
              <w:rPr>
                <w:rFonts w:hint="eastAsia" w:ascii="宋体" w:hAnsi="宋体" w:eastAsia="宋体" w:cs="宋体"/>
                <w:b w:val="0"/>
                <w:bCs/>
                <w:color w:val="000000"/>
                <w:spacing w:val="8"/>
                <w:sz w:val="28"/>
                <w:szCs w:val="28"/>
                <w:lang w:val="en-US" w:eastAsia="zh-CN"/>
              </w:rPr>
              <w:t xml:space="preserve">6</w:t>
            </w:r>
            <w:r>
              <w:rPr>
                <w:rFonts w:hint="eastAsia" w:ascii="宋体" w:hAnsi="宋体" w:eastAsia="宋体" w:cs="宋体"/>
                <w:b w:val="0"/>
                <w:bCs/>
                <w:color w:val="000000"/>
                <w:spacing w:val="8"/>
                <w:sz w:val="28"/>
                <w:szCs w:val="28"/>
              </w:rPr>
              <w:t xml:space="preserve">分</w:t>
            </w:r>
            <w:r>
              <w:rPr>
                <w:rFonts w:hint="eastAsia" w:ascii="宋体" w:hAnsi="宋体" w:eastAsia="宋体" w:cs="宋体"/>
                <w:b w:val="0"/>
                <w:bCs/>
                <w:color w:val="000000"/>
                <w:spacing w:val="8"/>
                <w:sz w:val="28"/>
                <w:szCs w:val="28"/>
                <w:lang w:eastAsia="zh-CN"/>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bCs w:val="0"/>
                <w:color w:val="000000"/>
                <w:spacing w:val="8"/>
                <w:sz w:val="28"/>
                <w:szCs w:val="28"/>
              </w:rPr>
              <w:suppressLineNumbers w:val="0"/>
            </w:pPr>
            <w:r>
              <w:rPr>
                <w:rFonts w:hint="eastAsia" w:ascii="宋体" w:hAnsi="宋体" w:eastAsia="宋体" w:cs="宋体"/>
                <w:b/>
                <w:bCs w:val="0"/>
                <w:color w:val="000000"/>
                <w:spacing w:val="8"/>
                <w:sz w:val="28"/>
                <w:szCs w:val="28"/>
                <w:lang w:val="en-US" w:eastAsia="zh-CN"/>
              </w:rPr>
              <w:t xml:space="preserve">2.</w:t>
            </w:r>
            <w:r>
              <w:rPr>
                <w:rFonts w:hint="eastAsia" w:ascii="宋体" w:hAnsi="宋体" w:eastAsia="宋体" w:cs="宋体"/>
                <w:b/>
                <w:bCs w:val="0"/>
                <w:color w:val="000000"/>
                <w:spacing w:val="8"/>
                <w:sz w:val="28"/>
                <w:szCs w:val="28"/>
              </w:rPr>
              <w:t xml:space="preserve">投标人拟派驻本项目的技术负责人</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rPr>
              <w:t xml:space="preserve">限评1人</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lang w:val="en-US" w:eastAsia="zh-CN"/>
              </w:rPr>
              <w:t xml:space="preserve">不得兼职</w:t>
            </w:r>
            <w:r>
              <w:rPr>
                <w:rFonts w:hint="eastAsia" w:ascii="宋体" w:hAnsi="宋体" w:eastAsia="宋体" w:cs="宋体"/>
                <w:b/>
                <w:bCs w:val="0"/>
                <w:color w:val="000000"/>
                <w:spacing w:val="8"/>
                <w:sz w:val="28"/>
                <w:szCs w:val="28"/>
                <w:lang w:eastAsia="zh-CN"/>
              </w:rPr>
              <w:t xml:space="preserve">）</w:t>
            </w:r>
            <w:r>
              <w:rPr>
                <w:rFonts w:hint="eastAsia" w:ascii="宋体" w:hAnsi="宋体" w:eastAsia="宋体" w:cs="宋体"/>
                <w:b/>
                <w:bCs w:val="0"/>
                <w:color w:val="000000"/>
                <w:spacing w:val="8"/>
                <w:sz w:val="28"/>
                <w:szCs w:val="28"/>
                <w:lang w:val="en-US" w:eastAsia="zh-CN"/>
              </w:rPr>
              <w:t xml:space="preserve">具有</w:t>
            </w:r>
            <w:r>
              <w:rPr>
                <w:rFonts w:hint="eastAsia" w:ascii="宋体" w:hAnsi="宋体" w:eastAsia="宋体" w:cs="宋体"/>
                <w:b/>
                <w:bCs w:val="0"/>
                <w:color w:val="000000"/>
                <w:spacing w:val="8"/>
                <w:sz w:val="28"/>
                <w:szCs w:val="28"/>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（1）系统架构设计师中级的得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系统架构设计师高级的得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分，最高得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（2）系统规划与管理师中级的得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系统规划与管理师高级的得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分，最高得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（3）信息安全保障人员认证（风险管理和安全运维）证书的得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（4）注册信息安全工程师认证的得</w:t>
            </w:r>
            <w:r>
              <w:rPr>
                <w:rFonts w:hint="eastAsia" w:ascii="宋体" w:hAnsi="宋体" w:eastAsia="宋体" w:cs="宋体"/>
                <w:bCs/>
                <w:color w:val="000000"/>
                <w:spacing w:val="8"/>
                <w:sz w:val="28"/>
                <w:szCs w:val="28"/>
                <w:lang w:val="en-US" w:eastAsia="zh-CN"/>
              </w:rPr>
              <w:t xml:space="preserve">2</w:t>
            </w:r>
            <w:r>
              <w:rPr>
                <w:rFonts w:hint="eastAsia" w:ascii="宋体" w:hAnsi="宋体" w:eastAsia="宋体" w:cs="宋体"/>
                <w:bCs/>
                <w:color w:val="000000"/>
                <w:spacing w:val="8"/>
                <w:sz w:val="28"/>
                <w:szCs w:val="28"/>
              </w:rPr>
              <w:t xml:space="preserve">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val="0"/>
                <w:bCs/>
                <w:color w:val="000000"/>
                <w:spacing w:val="8"/>
                <w:sz w:val="28"/>
                <w:szCs w:val="28"/>
                <w:lang w:eastAsia="zh-CN"/>
              </w:rPr>
              <w:suppressLineNumbers w:val="0"/>
            </w:pPr>
            <w:r>
              <w:rPr>
                <w:rFonts w:hint="eastAsia" w:ascii="宋体" w:hAnsi="宋体" w:eastAsia="宋体" w:cs="宋体"/>
                <w:b w:val="0"/>
                <w:bCs/>
                <w:color w:val="000000"/>
                <w:spacing w:val="8"/>
                <w:sz w:val="28"/>
                <w:szCs w:val="28"/>
              </w:rPr>
              <w:t xml:space="preserve">本项最高得</w:t>
            </w:r>
            <w:r>
              <w:rPr>
                <w:rFonts w:hint="eastAsia" w:ascii="宋体" w:hAnsi="宋体" w:eastAsia="宋体" w:cs="宋体"/>
                <w:b w:val="0"/>
                <w:bCs/>
                <w:color w:val="000000"/>
                <w:spacing w:val="8"/>
                <w:sz w:val="28"/>
                <w:szCs w:val="28"/>
                <w:lang w:val="en-US" w:eastAsia="zh-CN"/>
              </w:rPr>
              <w:t xml:space="preserve">8</w:t>
            </w:r>
            <w:r>
              <w:rPr>
                <w:rFonts w:hint="eastAsia" w:ascii="宋体" w:hAnsi="宋体" w:eastAsia="宋体" w:cs="宋体"/>
                <w:b w:val="0"/>
                <w:bCs/>
                <w:color w:val="000000"/>
                <w:spacing w:val="8"/>
                <w:sz w:val="28"/>
                <w:szCs w:val="28"/>
              </w:rPr>
              <w:t xml:space="preserve">分</w:t>
            </w:r>
            <w:r>
              <w:rPr>
                <w:rFonts w:hint="eastAsia" w:ascii="宋体" w:hAnsi="宋体" w:eastAsia="宋体" w:cs="宋体"/>
                <w:b w:val="0"/>
                <w:bCs/>
                <w:color w:val="000000"/>
                <w:spacing w:val="8"/>
                <w:sz w:val="28"/>
                <w:szCs w:val="28"/>
                <w:lang w:eastAsia="zh-CN"/>
              </w:rPr>
              <w:t xml:space="preserve">。</w:t>
            </w:r>
            <w:r/>
          </w:p>
          <w:p>
            <w:pPr>
              <w:numPr>
                <w:ilvl w:val="0"/>
                <w:numId w:val="0"/>
              </w:num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b/>
                <w:bCs w:val="0"/>
                <w:color w:val="000000"/>
                <w:spacing w:val="8"/>
                <w:sz w:val="28"/>
                <w:szCs w:val="28"/>
              </w:rPr>
              <w:suppressLineNumbers w:val="0"/>
            </w:pPr>
            <w:r>
              <w:rPr>
                <w:rFonts w:hint="eastAsia" w:ascii="宋体" w:hAnsi="宋体" w:eastAsia="宋体" w:cs="宋体"/>
                <w:b/>
                <w:bCs w:val="0"/>
                <w:color w:val="000000"/>
                <w:spacing w:val="8"/>
                <w:sz w:val="28"/>
                <w:szCs w:val="28"/>
                <w:lang w:val="en-US" w:eastAsia="zh-CN" w:bidi="ar-SA"/>
              </w:rPr>
              <w:t xml:space="preserve">3.</w:t>
            </w:r>
            <w:r>
              <w:rPr>
                <w:rFonts w:hint="eastAsia" w:ascii="宋体" w:hAnsi="宋体" w:eastAsia="宋体" w:cs="宋体"/>
                <w:b/>
                <w:bCs w:val="0"/>
                <w:color w:val="000000"/>
                <w:spacing w:val="8"/>
                <w:sz w:val="28"/>
                <w:szCs w:val="28"/>
              </w:rPr>
              <w:t xml:space="preserve">投标人拟投入的人员中（项目负责人和技术负责人</w:t>
            </w:r>
            <w:r>
              <w:rPr>
                <w:rFonts w:hint="eastAsia" w:ascii="宋体" w:hAnsi="宋体" w:eastAsia="宋体" w:cs="宋体"/>
                <w:b/>
                <w:bCs w:val="0"/>
                <w:color w:val="000000"/>
                <w:spacing w:val="8"/>
                <w:sz w:val="28"/>
                <w:szCs w:val="28"/>
                <w:lang w:val="en-US" w:eastAsia="zh-CN"/>
              </w:rPr>
              <w:t xml:space="preserve">除</w:t>
            </w:r>
            <w:r>
              <w:rPr>
                <w:rFonts w:hint="eastAsia" w:ascii="宋体" w:hAnsi="宋体" w:eastAsia="宋体" w:cs="宋体"/>
                <w:b/>
                <w:bCs w:val="0"/>
                <w:color w:val="000000"/>
                <w:spacing w:val="8"/>
                <w:sz w:val="28"/>
                <w:szCs w:val="28"/>
              </w:rPr>
              <w:t xml:space="preserve">外）</w:t>
            </w:r>
            <w:r>
              <w:rPr>
                <w:rFonts w:hint="eastAsia" w:ascii="宋体" w:hAnsi="宋体" w:eastAsia="宋体" w:cs="宋体"/>
                <w:b/>
                <w:bCs w:val="0"/>
                <w:color w:val="000000"/>
                <w:spacing w:val="8"/>
                <w:sz w:val="28"/>
                <w:szCs w:val="28"/>
                <w:lang w:val="en-US" w:eastAsia="zh-CN"/>
              </w:rPr>
              <w:t xml:space="preserve">具有</w:t>
            </w:r>
            <w:r>
              <w:rPr>
                <w:rFonts w:hint="eastAsia" w:ascii="宋体" w:hAnsi="宋体" w:eastAsia="宋体" w:cs="宋体"/>
                <w:b/>
                <w:bCs w:val="0"/>
                <w:color w:val="000000"/>
                <w:spacing w:val="8"/>
                <w:sz w:val="28"/>
                <w:szCs w:val="28"/>
                <w:lang w:eastAsia="zh-CN"/>
              </w:rPr>
              <w:t xml:space="preserve">；</w:t>
            </w:r>
            <w:r/>
          </w:p>
          <w:p>
            <w:pPr>
              <w:numPr>
                <w:ilvl w:val="0"/>
                <w:numId w:val="0"/>
              </w:numPr>
              <w:ind w:left="0" w:right="0"/>
              <w:jc w:val="left"/>
              <w:keepLines w:val="0"/>
              <w:keepNext w:val="0"/>
              <w:pageBreakBefore w:val="0"/>
              <w:spacing w:before="0" w:beforeAutospacing="0" w:after="0" w:afterAutospacing="0" w:line="480" w:lineRule="exact"/>
              <w:widowControl/>
              <w:rPr>
                <w:rFonts w:hint="eastAsia" w:ascii="宋体" w:hAnsi="宋体" w:eastAsia="宋体" w:cs="宋体"/>
                <w:bCs/>
                <w:color w:val="000000"/>
                <w:spacing w:val="8"/>
                <w:sz w:val="28"/>
                <w:szCs w:val="28"/>
              </w:rPr>
              <w:suppressLineNumbers w:val="0"/>
            </w:pPr>
            <w:r>
              <w:rPr>
                <w:rFonts w:hint="eastAsia" w:ascii="宋体" w:hAnsi="宋体" w:eastAsia="宋体" w:cs="宋体"/>
                <w:bCs/>
                <w:color w:val="000000"/>
                <w:spacing w:val="8"/>
                <w:sz w:val="28"/>
                <w:szCs w:val="28"/>
              </w:rPr>
              <w:t xml:space="preserve">高级网络信息安全工程师</w:t>
            </w:r>
            <w:r>
              <w:rPr>
                <w:rFonts w:hint="eastAsia" w:ascii="宋体" w:hAnsi="宋体" w:eastAsia="宋体" w:cs="宋体"/>
                <w:bCs/>
                <w:color w:val="000000"/>
                <w:spacing w:val="8"/>
                <w:sz w:val="28"/>
                <w:szCs w:val="28"/>
                <w:lang w:val="en-US" w:eastAsia="zh-CN"/>
              </w:rPr>
              <w:t xml:space="preserve">证书</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高级IT运维工程师</w:t>
            </w:r>
            <w:r>
              <w:rPr>
                <w:rFonts w:hint="eastAsia" w:ascii="宋体" w:hAnsi="宋体" w:eastAsia="宋体" w:cs="宋体"/>
                <w:bCs/>
                <w:color w:val="000000"/>
                <w:spacing w:val="8"/>
                <w:sz w:val="28"/>
                <w:szCs w:val="28"/>
                <w:lang w:val="en-US" w:eastAsia="zh-CN"/>
              </w:rPr>
              <w:t xml:space="preserve">证书</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高级网络技术工程师</w:t>
            </w:r>
            <w:r>
              <w:rPr>
                <w:rFonts w:hint="eastAsia" w:ascii="宋体" w:hAnsi="宋体" w:eastAsia="宋体" w:cs="宋体"/>
                <w:bCs/>
                <w:color w:val="000000"/>
                <w:spacing w:val="8"/>
                <w:sz w:val="28"/>
                <w:szCs w:val="28"/>
                <w:lang w:val="en-US" w:eastAsia="zh-CN"/>
              </w:rPr>
              <w:t xml:space="preserve">证书</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高级信息系统项目管理师</w:t>
            </w:r>
            <w:r>
              <w:rPr>
                <w:rFonts w:hint="eastAsia" w:ascii="宋体" w:hAnsi="宋体" w:eastAsia="宋体" w:cs="宋体"/>
                <w:bCs/>
                <w:color w:val="000000"/>
                <w:spacing w:val="8"/>
                <w:sz w:val="28"/>
                <w:szCs w:val="28"/>
                <w:lang w:val="en-US" w:eastAsia="zh-CN"/>
              </w:rPr>
              <w:t xml:space="preserve">证书</w:t>
            </w:r>
            <w:r>
              <w:rPr>
                <w:rFonts w:hint="eastAsia" w:ascii="宋体" w:hAnsi="宋体" w:eastAsia="宋体" w:cs="宋体"/>
                <w:bCs/>
                <w:color w:val="000000"/>
                <w:spacing w:val="8"/>
                <w:sz w:val="28"/>
                <w:szCs w:val="28"/>
              </w:rPr>
              <w:t xml:space="preserve">的，</w:t>
            </w:r>
            <w:r>
              <w:rPr>
                <w:rFonts w:hint="eastAsia" w:ascii="宋体" w:hAnsi="宋体" w:eastAsia="宋体" w:cs="宋体"/>
                <w:bCs/>
                <w:color w:val="000000"/>
                <w:spacing w:val="8"/>
                <w:sz w:val="28"/>
                <w:szCs w:val="28"/>
                <w:lang w:val="en-US" w:eastAsia="zh-CN"/>
              </w:rPr>
              <w:t xml:space="preserve">每</w:t>
            </w:r>
            <w:r>
              <w:rPr>
                <w:rFonts w:hint="eastAsia" w:ascii="宋体" w:hAnsi="宋体" w:eastAsia="宋体" w:cs="宋体"/>
                <w:bCs/>
                <w:color w:val="000000"/>
                <w:spacing w:val="8"/>
                <w:sz w:val="28"/>
                <w:szCs w:val="28"/>
              </w:rPr>
              <w:t xml:space="preserve">有一个得</w:t>
            </w:r>
            <w:r>
              <w:rPr>
                <w:rFonts w:hint="eastAsia" w:ascii="宋体" w:hAnsi="宋体" w:eastAsia="宋体" w:cs="宋体"/>
                <w:bCs/>
                <w:color w:val="000000"/>
                <w:spacing w:val="8"/>
                <w:sz w:val="28"/>
                <w:szCs w:val="28"/>
                <w:lang w:val="en-US" w:eastAsia="zh-CN"/>
              </w:rPr>
              <w:t xml:space="preserve">1</w:t>
            </w:r>
            <w:r>
              <w:rPr>
                <w:rFonts w:hint="eastAsia" w:ascii="宋体" w:hAnsi="宋体" w:eastAsia="宋体" w:cs="宋体"/>
                <w:bCs/>
                <w:color w:val="000000"/>
                <w:spacing w:val="8"/>
                <w:sz w:val="28"/>
                <w:szCs w:val="28"/>
              </w:rPr>
              <w:t xml:space="preserve">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lang w:val="en-US" w:eastAsia="zh-CN"/>
              </w:rPr>
              <w:t xml:space="preserve">以上证书不重复得分</w:t>
            </w:r>
            <w:r>
              <w:rPr>
                <w:rFonts w:hint="eastAsia" w:ascii="宋体" w:hAnsi="宋体" w:eastAsia="宋体" w:cs="宋体"/>
                <w:bCs/>
                <w:color w:val="000000"/>
                <w:spacing w:val="8"/>
                <w:sz w:val="28"/>
                <w:szCs w:val="28"/>
                <w:lang w:eastAsia="zh-CN"/>
              </w:rPr>
              <w:t xml:space="preserve">）</w:t>
            </w:r>
            <w:r>
              <w:rPr>
                <w:rFonts w:hint="eastAsia" w:ascii="宋体" w:hAnsi="宋体" w:eastAsia="宋体" w:cs="宋体"/>
                <w:bCs/>
                <w:color w:val="000000"/>
                <w:spacing w:val="8"/>
                <w:sz w:val="28"/>
                <w:szCs w:val="28"/>
              </w:rPr>
              <w:t xml:space="preserve">，最高得</w:t>
            </w:r>
            <w:r>
              <w:rPr>
                <w:rFonts w:hint="eastAsia" w:ascii="宋体" w:hAnsi="宋体" w:eastAsia="宋体" w:cs="宋体"/>
                <w:bCs/>
                <w:color w:val="000000"/>
                <w:spacing w:val="8"/>
                <w:sz w:val="28"/>
                <w:szCs w:val="28"/>
                <w:lang w:val="en-US" w:eastAsia="zh-CN"/>
              </w:rPr>
              <w:t xml:space="preserve">4</w:t>
            </w:r>
            <w:r>
              <w:rPr>
                <w:rFonts w:hint="eastAsia" w:ascii="宋体" w:hAnsi="宋体" w:eastAsia="宋体" w:cs="宋体"/>
                <w:bCs/>
                <w:color w:val="000000"/>
                <w:spacing w:val="8"/>
                <w:sz w:val="28"/>
                <w:szCs w:val="28"/>
              </w:rPr>
              <w:t xml:space="preserve">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Cs/>
                <w:color w:val="000000"/>
                <w:spacing w:val="8"/>
                <w:sz w:val="28"/>
                <w:szCs w:val="28"/>
                <w:lang w:val="en-US" w:eastAsia="zh-CN" w:bidi="ar-SA"/>
              </w:rPr>
              <w:suppressLineNumbers w:val="0"/>
            </w:pPr>
            <w:r>
              <w:rPr>
                <w:rFonts w:hint="eastAsia" w:ascii="宋体" w:hAnsi="宋体" w:eastAsia="宋体" w:cs="宋体"/>
                <w:bCs/>
                <w:color w:val="000000"/>
                <w:spacing w:val="8"/>
                <w:sz w:val="28"/>
                <w:szCs w:val="28"/>
                <w:lang w:val="en-US" w:eastAsia="zh-CN" w:bidi="ar-SA"/>
              </w:rPr>
              <w:t xml:space="preserve">本大项最高得18分。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rPr>
              <w:t xml:space="preserve">注：1.提供相关证书证明材料；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rPr>
              <w:t xml:space="preserve">2.提供投标人为其缴纳的近半年（</w:t>
            </w:r>
            <w:r>
              <w:rPr>
                <w:rFonts w:hint="eastAsia" w:ascii="宋体" w:hAnsi="宋体" w:eastAsia="宋体" w:cs="宋体"/>
                <w:b/>
                <w:bCs/>
                <w:color w:val="ff0000"/>
                <w:sz w:val="28"/>
                <w:szCs w:val="28"/>
                <w:highlight w:val="none"/>
                <w:lang w:val="en-US" w:eastAsia="zh-CN"/>
              </w:rPr>
              <w:t xml:space="preserve">投标</w:t>
            </w:r>
            <w:r>
              <w:rPr>
                <w:rFonts w:hint="eastAsia" w:ascii="宋体" w:hAnsi="宋体" w:eastAsia="宋体" w:cs="宋体"/>
                <w:b/>
                <w:bCs/>
                <w:color w:val="ff0000"/>
                <w:sz w:val="28"/>
                <w:szCs w:val="28"/>
                <w:highlight w:val="none"/>
              </w:rPr>
              <w:t xml:space="preserve">文件提交截止时间往前推）任意一个月的社保缴纳证明材料；</w:t>
            </w:r>
            <w:r/>
          </w:p>
          <w:p>
            <w:pPr>
              <w:ind w:left="0" w:right="0" w:firstLine="0"/>
              <w:jc w:val="both"/>
              <w:keepLines w:val="0"/>
              <w:keepNext w:val="0"/>
              <w:pageBreakBefore w:val="0"/>
              <w:spacing w:before="0" w:beforeAutospacing="0" w:after="0" w:afterAutospacing="0" w:line="48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highlight w:val="none"/>
                <w:lang w:val="en-US" w:eastAsia="zh-CN"/>
              </w:rPr>
              <w:t xml:space="preserve">    </w:t>
            </w:r>
            <w:r>
              <w:rPr>
                <w:rFonts w:hint="eastAsia" w:ascii="宋体" w:hAnsi="宋体" w:eastAsia="宋体" w:cs="宋体"/>
                <w:b/>
                <w:bCs/>
                <w:color w:val="ff0000"/>
                <w:sz w:val="28"/>
                <w:szCs w:val="28"/>
                <w:highlight w:val="none"/>
              </w:rPr>
              <w:t xml:space="preserve">3.未按要求提供或提供不清晰导致专家无法判断的不得分。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18</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r>
        <w:trPr>
          <w:trHeight w:val="482"/>
        </w:trPr>
        <w:tc>
          <w:tcPr>
            <w:tcW w:w="31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3.3</w:t>
            </w:r>
            <w:r/>
          </w:p>
        </w:tc>
        <w:tc>
          <w:tcPr>
            <w:tcMar>
              <w:left w:w="108" w:type="dxa"/>
              <w:top w:w="0" w:type="dxa"/>
              <w:right w:w="108" w:type="dxa"/>
              <w:bottom w:w="0" w:type="dxa"/>
            </w:tcMar>
            <w:tcW w:w="5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sz w:val="28"/>
                <w:szCs w:val="28"/>
                <w:lang w:val="en-US" w:eastAsia="zh-CN"/>
              </w:rPr>
              <w:suppressLineNumbers w:val="0"/>
            </w:pPr>
            <w:r>
              <w:rPr>
                <w:rFonts w:hint="eastAsia" w:ascii="宋体" w:hAnsi="宋体" w:eastAsia="宋体" w:cs="宋体"/>
                <w:b/>
                <w:bCs w:val="0"/>
                <w:sz w:val="28"/>
                <w:szCs w:val="28"/>
                <w:lang w:val="en-US" w:eastAsia="zh-CN"/>
              </w:rPr>
              <w:t xml:space="preserve">投标人业绩</w:t>
            </w:r>
            <w:r/>
          </w:p>
        </w:tc>
        <w:tc>
          <w:tcPr>
            <w:tcMar>
              <w:left w:w="108" w:type="dxa"/>
              <w:top w:w="0" w:type="dxa"/>
              <w:right w:w="108" w:type="dxa"/>
              <w:bottom w:w="0" w:type="dxa"/>
            </w:tcMar>
            <w:tcW w:w="2585" w:type="pct"/>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投标人自</w:t>
            </w:r>
            <w:r>
              <w:rPr>
                <w:rFonts w:hint="eastAsia" w:ascii="宋体" w:hAnsi="宋体" w:eastAsia="宋体" w:cs="宋体"/>
                <w:sz w:val="28"/>
                <w:szCs w:val="28"/>
                <w:highlight w:val="none"/>
                <w:lang w:val="en-US" w:eastAsia="zh-CN" w:bidi="ar-SA"/>
              </w:rPr>
              <w:t xml:space="preserve">2022年1月1日</w:t>
            </w:r>
            <w:r>
              <w:rPr>
                <w:rFonts w:hint="eastAsia" w:ascii="宋体" w:hAnsi="宋体" w:eastAsia="宋体" w:cs="宋体"/>
                <w:sz w:val="28"/>
                <w:szCs w:val="28"/>
                <w:lang w:val="en-US" w:eastAsia="zh-CN" w:bidi="ar-SA"/>
              </w:rPr>
              <w:t xml:space="preserve">以来承担过类似系统建设项目案例的，每有一个得2分，最高10分。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注：1.提供合同材料。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2.项目业绩时间以合同签订时间为准。</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3.</w:t>
            </w:r>
            <w:r>
              <w:rPr>
                <w:rFonts w:hint="default" w:ascii="宋体" w:hAnsi="宋体" w:eastAsia="宋体" w:cs="宋体"/>
                <w:b/>
                <w:bCs/>
                <w:color w:val="ff0000"/>
                <w:sz w:val="28"/>
                <w:szCs w:val="28"/>
                <w:highlight w:val="none"/>
                <w:lang w:val="en-US" w:eastAsia="zh-CN"/>
              </w:rPr>
              <w:t xml:space="preserve">未按要求提供或提供不清晰导致专家无法判断的不得分。</w:t>
            </w:r>
            <w:r/>
          </w:p>
        </w:tc>
        <w:tc>
          <w:tcPr>
            <w:tcMar>
              <w:left w:w="108" w:type="dxa"/>
              <w:top w:w="0" w:type="dxa"/>
              <w:right w:w="108" w:type="dxa"/>
              <w:bottom w:w="0" w:type="dxa"/>
            </w:tcMar>
            <w:tcW w:w="415"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10</w:t>
            </w:r>
            <w:r/>
          </w:p>
        </w:tc>
        <w:tc>
          <w:tcPr>
            <w:shd w:val="clear" w:color="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c>
          <w:tcPr>
            <w:shd w:val="clear" w:color="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技术部分序号2.1技术方案：</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页，但不得超过60页，若篇幅页数不足或超出，则2.1技术方案不得分。</w:t>
      </w:r>
      <w:r/>
    </w:p>
    <w:p>
      <w:pPr>
        <w:ind w:left="0" w:firstLine="1124"/>
        <w:keepLines w:val="0"/>
        <w:keepNext w:val="0"/>
        <w:pageBreakBefore w:val="0"/>
        <w:spacing w:line="360" w:lineRule="auto"/>
        <w:widowControl w:val="off"/>
        <w:rPr>
          <w:rFonts w:hint="eastAsia" w:eastAsia="宋体" w:cs="Times New Roman"/>
        </w:rPr>
        <w:outlineLvl w:val="9"/>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w:t>
      </w:r>
      <w:r>
        <w:rPr>
          <w:rFonts w:hint="eastAsia" w:eastAsia="宋体" w:cs="Times New Roman"/>
          <w:b/>
          <w:bCs/>
          <w:color w:val="ff0000"/>
          <w:highlight w:val="yellow"/>
        </w:rPr>
        <w:t xml:space="preserve">实施方案：</w:t>
      </w:r>
      <w:r>
        <w:rPr>
          <w:rFonts w:hint="eastAsia" w:eastAsia="宋体" w:cs="Times New Roman"/>
        </w:rPr>
        <w:t xml:space="preserve">篇幅编制页数至少为</w:t>
      </w:r>
      <w:r>
        <w:rPr>
          <w:rFonts w:hint="eastAsia" w:eastAsia="宋体" w:cs="Times New Roman"/>
          <w:lang w:val="en-US" w:eastAsia="zh-CN"/>
        </w:rPr>
        <w:t xml:space="preserve">12</w:t>
      </w:r>
      <w:r>
        <w:rPr>
          <w:rFonts w:hint="eastAsia" w:eastAsia="宋体" w:cs="Times New Roman"/>
        </w:rPr>
        <w:t xml:space="preserve">页，但不得超过</w:t>
      </w:r>
      <w:r>
        <w:rPr>
          <w:rFonts w:hint="eastAsia" w:eastAsia="宋体"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eastAsia="宋体" w:cs="Times New Roman"/>
        </w:rPr>
        <w:t xml:space="preserve">实施方案不得分。</w:t>
      </w:r>
      <w:r/>
    </w:p>
    <w:p>
      <w:pPr>
        <w:ind w:left="0" w:firstLine="1124"/>
        <w:keepLines w:val="0"/>
        <w:keepNext w:val="0"/>
        <w:pageBreakBefore w:val="0"/>
        <w:spacing w:line="360" w:lineRule="auto"/>
        <w:widowControl w:val="off"/>
        <w:rPr>
          <w:rFonts w:hint="eastAsia" w:eastAsia="宋体" w:cs="Times New Roman"/>
        </w:rPr>
        <w:outlineLvl w:val="9"/>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w:t>
      </w:r>
      <w:r>
        <w:rPr>
          <w:rFonts w:hint="eastAsia" w:eastAsia="宋体" w:cs="Times New Roman"/>
          <w:b/>
          <w:bCs/>
          <w:color w:val="ff0000"/>
          <w:highlight w:val="yellow"/>
        </w:rPr>
        <w:t xml:space="preserve">售后服务</w:t>
      </w:r>
      <w:r>
        <w:rPr>
          <w:rFonts w:hint="eastAsia" w:eastAsia="宋体" w:cs="Times New Roman"/>
          <w:b/>
          <w:bCs/>
          <w:color w:val="ff0000"/>
          <w:highlight w:val="yellow"/>
          <w:lang w:val="en-US" w:eastAsia="zh-CN"/>
        </w:rPr>
        <w:t xml:space="preserve">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3</w:t>
      </w:r>
      <w:r>
        <w:rPr>
          <w:rFonts w:hint="eastAsia" w:eastAsia="宋体" w:cs="Times New Roman"/>
        </w:rPr>
        <w:t xml:space="preserve">售后服务</w:t>
      </w:r>
      <w:r>
        <w:rPr>
          <w:rFonts w:hint="eastAsia" w:eastAsia="宋体" w:cs="Times New Roman"/>
          <w:lang w:val="en-US" w:eastAsia="zh-CN"/>
        </w:rPr>
        <w:t xml:space="preserve">方案</w:t>
      </w:r>
      <w:r>
        <w:rPr>
          <w:rFonts w:hint="eastAsia" w:eastAsia="宋体" w:cs="Times New Roman"/>
        </w:rPr>
        <w:t xml:space="preserve">不得分。</w:t>
      </w:r>
      <w:r/>
    </w:p>
    <w:p>
      <w:pPr>
        <w:ind w:left="0" w:firstLine="1124"/>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4培训方案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4培训方案</w:t>
      </w:r>
      <w:r>
        <w:rPr>
          <w:rFonts w:hint="eastAsia" w:eastAsia="宋体" w:cs="Times New Roman"/>
        </w:rPr>
        <w:t xml:space="preserve">不得分。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8049"/>
      <w:r/>
      <w:bookmarkStart w:id="35" w:name="_Toc6187"/>
      <w:r/>
      <w:bookmarkStart w:id="36" w:name="_Toc12777"/>
      <w:r/>
      <w:bookmarkStart w:id="37" w:name="_Toc10141"/>
      <w:r/>
      <w:bookmarkStart w:id="38" w:name="_Toc10212"/>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4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3"/>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4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104"/>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30"/>
          <w:rFonts w:hint="eastAsia" w:ascii="黑体" w:hAnsi="黑体" w:cs="黑体"/>
          <w:b/>
          <w:bCs/>
          <w:sz w:val="28"/>
          <w:szCs w:val="28"/>
          <w:lang w:val="en-US" w:eastAsia="zh-CN"/>
        </w:rPr>
        <w:t xml:space="preserve">第一节  </w:t>
      </w:r>
      <w:r>
        <w:rPr>
          <w:rStyle w:val="1130"/>
          <w:rFonts w:hint="eastAsia" w:ascii="黑体" w:hAnsi="黑体" w:eastAsia="黑体" w:cs="黑体"/>
          <w:b/>
          <w:bCs/>
          <w:sz w:val="28"/>
          <w:szCs w:val="28"/>
          <w:lang w:val="en-US" w:eastAsia="zh-CN"/>
        </w:rPr>
        <w:t xml:space="preserve">项目基本信息</w:t>
      </w:r>
      <w:r/>
    </w:p>
    <w:tbl>
      <w:tblPr>
        <w:tblStyle w:val="1107"/>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26"/>
        <w:gridCol w:w="3920"/>
        <w:gridCol w:w="2667"/>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426" w:type="dxa"/>
            <w:vAlign w:val="center"/>
            <w:textDirection w:val="lrTb"/>
            <w:noWrap w:val="false"/>
          </w:tcPr>
          <w:p>
            <w:pPr>
              <w:ind w:left="0" w:right="0" w:firstLine="28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20" w:type="dxa"/>
            <w:vAlign w:val="center"/>
            <w:textDirection w:val="lrTb"/>
            <w:noWrap w:val="false"/>
          </w:tcPr>
          <w:p>
            <w:pPr>
              <w:ind w:left="0" w:right="0" w:firstLine="1120"/>
              <w:jc w:val="left"/>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667"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1</w:t>
            </w:r>
            <w:r/>
          </w:p>
        </w:tc>
        <w:tc>
          <w:tcPr>
            <w:tcW w:w="2426" w:type="dxa"/>
            <w:vAlign w:val="center"/>
            <w:textDirection w:val="lrTb"/>
            <w:noWrap w:val="false"/>
          </w:tcPr>
          <w:p>
            <w:pPr>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sz w:val="28"/>
                <w:szCs w:val="28"/>
                <w:lang w:val="en-US" w:eastAsia="zh-CN" w:bidi="ar-SA"/>
              </w:rPr>
              <w:suppressLineNumbers w:val="0"/>
            </w:pPr>
            <w:r>
              <w:rPr>
                <w:rFonts w:hint="eastAsia" w:eastAsia="Arial"/>
                <w:lang w:eastAsia="zh-CN"/>
              </w:rPr>
              <w:t xml:space="preserve">JSZC-320413-JZCG-G2025-00</w:t>
            </w:r>
            <w:r>
              <w:rPr>
                <w:rFonts w:hint="eastAsia" w:eastAsia="Arial"/>
                <w:lang w:val="en-US" w:eastAsia="zh-CN"/>
              </w:rPr>
              <w:t xml:space="preserve">48</w:t>
            </w:r>
            <w:r/>
          </w:p>
        </w:tc>
        <w:tc>
          <w:tcPr>
            <w:tcW w:w="3920" w:type="dxa"/>
            <w:vAlign w:val="center"/>
            <w:textDirection w:val="lrTb"/>
            <w:noWrap w:val="false"/>
          </w:tcPr>
          <w:p>
            <w:pPr>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常州市金坛第一人民医院数据指挥中心二期项目</w:t>
            </w:r>
            <w:r/>
          </w:p>
        </w:tc>
        <w:tc>
          <w:tcPr>
            <w:tcW w:w="2667" w:type="dxa"/>
            <w:vAlign w:val="center"/>
            <w:textDirection w:val="lrTb"/>
            <w:noWrap w:val="false"/>
          </w:tcPr>
          <w:p>
            <w:pPr>
              <w:ind w:left="0" w:right="0" w:firstLine="840"/>
              <w:jc w:val="both"/>
              <w:keepLines w:val="0"/>
              <w:keepNext w:val="0"/>
              <w:pageBreakBefore w:val="0"/>
              <w:spacing w:before="0" w:beforeAutospacing="0" w:after="0" w:afterAutospacing="0" w:line="480" w:lineRule="exact"/>
              <w:shd w:val="clear" w:color="auto" w:fill="ffffff"/>
              <w:widowControl/>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150</w:t>
            </w:r>
            <w:r/>
          </w:p>
        </w:tc>
      </w:tr>
    </w:tbl>
    <w:p>
      <w:pPr>
        <w:pageBreakBefore w:val="0"/>
        <w:spacing w:line="480" w:lineRule="exact"/>
        <w:rPr>
          <w:rFonts w:hint="eastAsia"/>
          <w:lang w:val="en-US" w:eastAsia="zh-CN"/>
        </w:rPr>
      </w:pPr>
      <w:r>
        <w:rPr>
          <w:rFonts w:hint="eastAsia"/>
          <w:lang w:val="en-US" w:eastAsia="zh-CN"/>
        </w:rPr>
      </w:r>
      <w:r/>
    </w:p>
    <w:p>
      <w:pPr>
        <w:pStyle w:val="1104"/>
        <w:numPr>
          <w:ilvl w:val="0"/>
          <w:numId w:val="0"/>
        </w:numPr>
        <w:jc w:val="center"/>
        <w:pageBreakBefore w:val="0"/>
        <w:spacing w:line="480" w:lineRule="exact"/>
        <w:rPr>
          <w:rFonts w:hint="eastAsia"/>
          <w:b/>
          <w:bCs/>
          <w:lang w:val="en-US" w:eastAsia="zh-CN"/>
        </w:rPr>
      </w:pPr>
      <w:r>
        <w:rPr>
          <w:rFonts w:hint="eastAsia"/>
          <w:b/>
          <w:bCs/>
          <w:lang w:val="en-US" w:eastAsia="zh-CN"/>
        </w:rPr>
        <w:t xml:space="preserve">第二节  项目概况</w:t>
      </w:r>
      <w:r/>
    </w:p>
    <w:p>
      <w:pPr>
        <w:ind w:firstLine="480"/>
        <w:pageBreakBefore w:val="0"/>
        <w:spacing w:before="60" w:after="60" w:line="480" w:lineRule="exact"/>
        <w:rPr>
          <w:rFonts w:hint="eastAsia" w:ascii="仿宋" w:hAnsi="仿宋" w:eastAsia="宋体" w:cs="Times New Roman"/>
          <w:color w:val="333333"/>
        </w:rPr>
      </w:pPr>
      <w:r>
        <w:rPr>
          <w:rFonts w:hint="default" w:ascii="仿宋" w:hAnsi="仿宋" w:eastAsia="宋体" w:cs="Times New Roman"/>
          <w:color w:val="333333"/>
        </w:rPr>
        <w:t xml:space="preserve">近年来国家持续深化</w:t>
      </w:r>
      <w:r>
        <w:rPr>
          <w:rFonts w:hint="eastAsia" w:ascii="仿宋" w:hAnsi="仿宋" w:eastAsia="宋体" w:cs="Times New Roman"/>
          <w:color w:val="333333"/>
        </w:rPr>
        <w:t xml:space="preserve">医疗</w:t>
      </w:r>
      <w:r>
        <w:rPr>
          <w:rFonts w:hint="default" w:ascii="仿宋" w:hAnsi="仿宋" w:eastAsia="宋体" w:cs="Times New Roman"/>
          <w:color w:val="333333"/>
        </w:rPr>
        <w:t xml:space="preserve">卫生体制改革，大力推进公立医院高质量发展与数字化转型。国务院办公厅印发《关于推动公立医院高质量发展的意见》明确指出，要以建立健全现代医院管理制度为目标，强化信息化支撑作用，推动管理模式和运行方式转变。</w:t>
      </w:r>
      <w:r>
        <w:rPr>
          <w:rFonts w:hint="eastAsia" w:ascii="仿宋" w:hAnsi="仿宋" w:eastAsia="宋体" w:cs="Times New Roman"/>
          <w:color w:val="333333"/>
        </w:rPr>
        <w:t xml:space="preserve">另外国家卫生健康委等十部门联合印发的《关于全面推进紧密型县域医疗卫生共同体建设的指导意见》，强调要“统一县域医共体内信息系统，加强数据互通共享和业务协同，推动人工智能辅助诊断技术在县域医共体内的应用”，以及《紧密型县域医疗卫生共同体监测指标体系的通知》。此外</w:t>
      </w:r>
      <w:r>
        <w:rPr>
          <w:rFonts w:hint="default" w:ascii="仿宋" w:hAnsi="仿宋" w:eastAsia="宋体" w:cs="Times New Roman"/>
          <w:color w:val="333333"/>
        </w:rPr>
        <w:t xml:space="preserve">常州市卫健委积极推进</w:t>
      </w:r>
      <w:r>
        <w:rPr>
          <w:rFonts w:hint="eastAsia" w:ascii="仿宋" w:hAnsi="仿宋" w:eastAsia="宋体" w:cs="Times New Roman"/>
          <w:color w:val="333333"/>
        </w:rPr>
        <w:t xml:space="preserve">“</w:t>
      </w:r>
      <w:r>
        <w:rPr>
          <w:rFonts w:hint="default" w:ascii="仿宋" w:hAnsi="仿宋" w:eastAsia="宋体" w:cs="Times New Roman"/>
          <w:color w:val="333333"/>
        </w:rPr>
        <w:t xml:space="preserve">医防融合</w:t>
      </w:r>
      <w:bookmarkStart w:id="39" w:name="OLE_LINK3"/>
      <w:r>
        <w:rPr>
          <w:rFonts w:hint="eastAsia" w:ascii="仿宋" w:hAnsi="仿宋" w:eastAsia="宋体" w:cs="Times New Roman"/>
          <w:color w:val="333333"/>
        </w:rPr>
        <w:t xml:space="preserve">”</w:t>
      </w:r>
      <w:r>
        <w:rPr>
          <w:rFonts w:hint="default" w:ascii="仿宋" w:hAnsi="仿宋" w:eastAsia="宋体" w:cs="Times New Roman"/>
          <w:color w:val="333333"/>
        </w:rPr>
        <w:t xml:space="preserve">创新改革</w:t>
      </w:r>
      <w:bookmarkEnd w:id="39"/>
      <w:r>
        <w:rPr>
          <w:rFonts w:hint="default" w:ascii="仿宋" w:hAnsi="仿宋" w:eastAsia="宋体" w:cs="Times New Roman"/>
          <w:color w:val="333333"/>
        </w:rPr>
        <w:t xml:space="preserve">，致力于构建以健康为中心的一体化健康服务体系，特别强调</w:t>
      </w:r>
      <w:r>
        <w:rPr>
          <w:rFonts w:hint="eastAsia" w:ascii="仿宋" w:hAnsi="仿宋" w:eastAsia="宋体" w:cs="Times New Roman"/>
          <w:color w:val="333333"/>
        </w:rPr>
        <w:t xml:space="preserve">“</w:t>
      </w:r>
      <w:r>
        <w:rPr>
          <w:rFonts w:hint="default" w:ascii="仿宋" w:hAnsi="仿宋" w:eastAsia="宋体" w:cs="Times New Roman"/>
          <w:color w:val="333333"/>
        </w:rPr>
        <w:t xml:space="preserve">注重数据共享，推进健康医疗大数据的融合、共享和应用</w:t>
      </w:r>
      <w:r>
        <w:rPr>
          <w:rFonts w:hint="eastAsia" w:ascii="仿宋" w:hAnsi="仿宋" w:eastAsia="宋体" w:cs="Times New Roman"/>
          <w:color w:val="333333"/>
        </w:rPr>
        <w:t xml:space="preserve">”</w:t>
      </w:r>
      <w:r>
        <w:rPr>
          <w:rFonts w:hint="default" w:ascii="仿宋" w:hAnsi="仿宋" w:eastAsia="宋体" w:cs="Times New Roman"/>
          <w:color w:val="333333"/>
        </w:rPr>
        <w:t xml:space="preserve">，</w:t>
      </w:r>
      <w:r>
        <w:rPr>
          <w:rFonts w:hint="eastAsia" w:ascii="仿宋" w:hAnsi="仿宋" w:eastAsia="宋体" w:cs="Times New Roman"/>
          <w:color w:val="333333"/>
        </w:rPr>
        <w:t xml:space="preserve">“</w:t>
      </w:r>
      <w:r>
        <w:rPr>
          <w:rFonts w:hint="default" w:ascii="仿宋" w:hAnsi="仿宋" w:eastAsia="宋体" w:cs="Times New Roman"/>
          <w:color w:val="333333"/>
        </w:rPr>
        <w:t xml:space="preserve">注重数字赋能</w:t>
      </w:r>
      <w:r>
        <w:rPr>
          <w:rFonts w:hint="eastAsia" w:ascii="仿宋" w:hAnsi="仿宋" w:eastAsia="宋体" w:cs="Times New Roman"/>
          <w:color w:val="333333"/>
        </w:rPr>
        <w:t xml:space="preserve">”</w:t>
      </w:r>
      <w:r>
        <w:rPr>
          <w:rFonts w:hint="default" w:ascii="仿宋" w:hAnsi="仿宋" w:eastAsia="宋体" w:cs="Times New Roman"/>
          <w:color w:val="333333"/>
        </w:rPr>
        <w:t xml:space="preserve">。</w:t>
      </w:r>
      <w:r>
        <w:rPr>
          <w:rFonts w:hint="eastAsia" w:ascii="仿宋" w:hAnsi="仿宋" w:eastAsia="宋体" w:cs="Times New Roman"/>
          <w:color w:val="333333"/>
        </w:rPr>
        <w:t xml:space="preserve">同时国家医保局积极推动以按病种付费为主的多元复合式医保支付方式改革。</w:t>
      </w:r>
      <w:r/>
    </w:p>
    <w:p>
      <w:pPr>
        <w:ind w:firstLine="0"/>
        <w:pageBreakBefore w:val="0"/>
        <w:spacing w:line="480" w:lineRule="exact"/>
        <w:rPr>
          <w:rFonts w:hint="eastAsia" w:eastAsia="宋体"/>
          <w:lang w:val="en-US" w:eastAsia="zh-CN"/>
        </w:rPr>
      </w:pPr>
      <w:r>
        <w:rPr>
          <w:rFonts w:hint="default" w:ascii="仿宋" w:hAnsi="仿宋" w:eastAsia="宋体" w:cs="Times New Roman"/>
          <w:color w:val="333333"/>
        </w:rPr>
        <w:t xml:space="preserve">    本项目紧密围绕国家卫生健康</w:t>
      </w:r>
      <w:r>
        <w:rPr>
          <w:rFonts w:hint="eastAsia" w:ascii="仿宋" w:hAnsi="仿宋" w:eastAsia="宋体" w:cs="Times New Roman"/>
          <w:color w:val="333333"/>
        </w:rPr>
        <w:t xml:space="preserve">公立医院数字化转型的</w:t>
      </w:r>
      <w:r>
        <w:rPr>
          <w:rFonts w:hint="default" w:ascii="仿宋" w:hAnsi="仿宋" w:eastAsia="宋体" w:cs="Times New Roman"/>
          <w:color w:val="333333"/>
        </w:rPr>
        <w:t xml:space="preserve">战略部署</w:t>
      </w:r>
      <w:bookmarkStart w:id="40" w:name="_Hlk213869847"/>
      <w:r>
        <w:rPr>
          <w:rFonts w:hint="eastAsia" w:ascii="仿宋" w:hAnsi="仿宋" w:eastAsia="宋体" w:cs="Times New Roman"/>
          <w:color w:val="333333"/>
        </w:rPr>
        <w:t xml:space="preserve">、医保改革，</w:t>
      </w:r>
      <w:bookmarkEnd w:id="40"/>
      <w:r>
        <w:rPr>
          <w:rFonts w:hint="eastAsia" w:ascii="仿宋" w:hAnsi="仿宋" w:eastAsia="宋体" w:cs="Times New Roman"/>
          <w:color w:val="333333"/>
        </w:rPr>
        <w:t xml:space="preserve">以及建设紧密型县域医疗卫生共同体的要求、</w:t>
      </w:r>
      <w:r>
        <w:rPr>
          <w:rFonts w:hint="eastAsia" w:ascii="仿宋" w:hAnsi="仿宋" w:eastAsia="宋体" w:cs="Times New Roman"/>
          <w:color w:val="333333"/>
          <w:lang w:eastAsia="zh-CN"/>
        </w:rPr>
        <w:t xml:space="preserve">金坛第一人民医院</w:t>
      </w:r>
      <w:r>
        <w:rPr>
          <w:rFonts w:hint="eastAsia" w:ascii="仿宋" w:hAnsi="仿宋" w:eastAsia="宋体" w:cs="Times New Roman"/>
          <w:color w:val="333333"/>
        </w:rPr>
        <w:t xml:space="preserve">“1+9+N”医共体建设布局和响应</w:t>
      </w:r>
      <w:r>
        <w:rPr>
          <w:rFonts w:hint="default" w:ascii="仿宋" w:hAnsi="仿宋" w:eastAsia="宋体" w:cs="Times New Roman"/>
          <w:color w:val="333333"/>
        </w:rPr>
        <w:t xml:space="preserve">常州市卫健委创新改革，结合医院发展实际</w:t>
      </w:r>
      <w:r>
        <w:rPr>
          <w:rFonts w:hint="eastAsia" w:ascii="仿宋" w:hAnsi="仿宋" w:eastAsia="宋体" w:cs="Times New Roman"/>
          <w:color w:val="333333"/>
        </w:rPr>
        <w:t xml:space="preserve">情况</w:t>
      </w:r>
      <w:r>
        <w:rPr>
          <w:rFonts w:hint="default" w:ascii="仿宋" w:hAnsi="仿宋" w:eastAsia="宋体" w:cs="Times New Roman"/>
          <w:color w:val="333333"/>
        </w:rPr>
        <w:t xml:space="preserve">，通过</w:t>
      </w:r>
      <w:r>
        <w:rPr>
          <w:rFonts w:hint="eastAsia" w:ascii="仿宋" w:hAnsi="仿宋" w:eastAsia="宋体" w:cs="Times New Roman"/>
          <w:color w:val="333333"/>
        </w:rPr>
        <w:t xml:space="preserve">大数据技术</w:t>
      </w:r>
      <w:r>
        <w:rPr>
          <w:rFonts w:hint="default" w:ascii="仿宋" w:hAnsi="仿宋" w:eastAsia="宋体" w:cs="Times New Roman"/>
          <w:color w:val="333333"/>
        </w:rPr>
        <w:t xml:space="preserve">构建</w:t>
      </w:r>
      <w:r>
        <w:rPr>
          <w:rFonts w:hint="eastAsia" w:ascii="仿宋" w:hAnsi="仿宋" w:eastAsia="宋体" w:cs="Times New Roman"/>
          <w:color w:val="333333"/>
        </w:rPr>
        <w:t xml:space="preserve">面向集团医院和内部重点科室应用的</w:t>
      </w:r>
      <w:r>
        <w:rPr>
          <w:rFonts w:hint="default" w:ascii="仿宋" w:hAnsi="仿宋" w:eastAsia="宋体" w:cs="Times New Roman"/>
          <w:color w:val="333333"/>
        </w:rPr>
        <w:t xml:space="preserve">可视化数据看板和统一数据</w:t>
      </w:r>
      <w:r>
        <w:rPr>
          <w:rFonts w:hint="eastAsia" w:ascii="仿宋" w:hAnsi="仿宋" w:eastAsia="宋体" w:cs="Times New Roman"/>
          <w:color w:val="333333"/>
        </w:rPr>
        <w:t xml:space="preserve">共享</w:t>
      </w:r>
      <w:r>
        <w:rPr>
          <w:rFonts w:hint="default" w:ascii="仿宋" w:hAnsi="仿宋" w:eastAsia="宋体" w:cs="Times New Roman"/>
          <w:color w:val="333333"/>
        </w:rPr>
        <w:t xml:space="preserve">平台，为医院高质量发展提供坚实</w:t>
      </w:r>
      <w:r>
        <w:rPr>
          <w:rFonts w:hint="eastAsia" w:ascii="仿宋" w:hAnsi="仿宋" w:eastAsia="宋体" w:cs="Times New Roman"/>
          <w:color w:val="333333"/>
        </w:rPr>
        <w:t xml:space="preserve">的数据底座</w:t>
      </w:r>
      <w:r>
        <w:rPr>
          <w:rFonts w:hint="default" w:ascii="仿宋" w:hAnsi="仿宋" w:eastAsia="宋体" w:cs="Times New Roman"/>
          <w:color w:val="333333"/>
        </w:rPr>
        <w:t xml:space="preserve">支撑</w:t>
      </w:r>
      <w:bookmarkStart w:id="41" w:name="_Hlk72073432"/>
      <w:r>
        <w:rPr>
          <w:rFonts w:hint="eastAsia" w:ascii="仿宋" w:hAnsi="仿宋" w:eastAsia="宋体" w:cs="Times New Roman"/>
          <w:color w:val="333333"/>
          <w:lang w:eastAsia="zh-CN"/>
        </w:rPr>
        <w:t xml:space="preserve">。</w:t>
      </w:r>
      <w:r/>
    </w:p>
    <w:p>
      <w:pPr>
        <w:rPr>
          <w:rFonts w:hint="eastAsia"/>
          <w:lang w:val="en-US" w:eastAsia="zh-CN"/>
        </w:rPr>
      </w:pPr>
      <w:r>
        <w:rPr>
          <w:rFonts w:hint="eastAsia"/>
          <w:lang w:val="en-US" w:eastAsia="zh-CN"/>
        </w:rPr>
      </w:r>
      <w:r/>
    </w:p>
    <w:p>
      <w:pPr>
        <w:pStyle w:val="1104"/>
        <w:ind w:left="0" w:firstLine="0"/>
        <w:jc w:val="center"/>
        <w:pageBreakBefore w:val="0"/>
        <w:spacing w:before="0" w:after="0" w:line="480" w:lineRule="exact"/>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第三节  </w:t>
      </w:r>
      <w:r>
        <w:rPr>
          <w:rFonts w:hint="eastAsia" w:ascii="黑体" w:hAnsi="黑体" w:eastAsia="黑体" w:cs="黑体"/>
          <w:b/>
          <w:bCs/>
          <w:sz w:val="28"/>
          <w:szCs w:val="28"/>
        </w:rPr>
        <w:t xml:space="preserve">服务需求明细</w:t>
      </w:r>
      <w:bookmarkEnd w:id="41"/>
      <w:r/>
      <w:r/>
    </w:p>
    <w:tbl>
      <w:tblPr>
        <w:tblStyle w:val="1107"/>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399"/>
        <w:gridCol w:w="4505"/>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217"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2285"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217" w:type="pct"/>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bCs/>
                <w:sz w:val="28"/>
                <w:szCs w:val="28"/>
                <w:lang w:eastAsia="zh-CN"/>
              </w:rPr>
              <w:suppressLineNumbers w:val="0"/>
            </w:pPr>
            <w:r>
              <w:rPr>
                <w:rFonts w:hint="eastAsia" w:eastAsia="Arial"/>
                <w:lang w:eastAsia="zh-CN"/>
              </w:rPr>
              <w:t xml:space="preserve">JSZC-320413-JZCG-G2025-00</w:t>
            </w:r>
            <w:r>
              <w:rPr>
                <w:rFonts w:hint="eastAsia" w:eastAsia="Arial"/>
                <w:lang w:val="en-US" w:eastAsia="zh-CN"/>
              </w:rPr>
              <w:t xml:space="preserve">48</w:t>
            </w:r>
            <w:r/>
          </w:p>
        </w:tc>
        <w:tc>
          <w:tcPr>
            <w:tcW w:w="2285" w:type="pct"/>
            <w:vAlign w:val="center"/>
            <w:textDirection w:val="lrTb"/>
            <w:noWrap w:val="false"/>
          </w:tcPr>
          <w:p>
            <w:pPr>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Cs/>
                <w:sz w:val="28"/>
                <w:szCs w:val="28"/>
              </w:rPr>
              <w:suppressLineNumbers w:val="0"/>
            </w:pPr>
            <w:r>
              <w:rPr>
                <w:rFonts w:hint="eastAsia" w:ascii="宋体" w:hAnsi="宋体" w:eastAsia="宋体" w:cs="宋体"/>
                <w:sz w:val="28"/>
                <w:szCs w:val="28"/>
                <w:lang w:val="en-US" w:eastAsia="zh-CN" w:bidi="ar-SA"/>
              </w:rPr>
              <w:t xml:space="preserve">常州市金坛第一人民医院数据指挥中心二期项目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48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ind w:firstLine="0"/>
        <w:pageBreakBefore w:val="0"/>
        <w:spacing w:line="480" w:lineRule="exact"/>
        <w:rPr>
          <w:rFonts w:hint="eastAsia"/>
          <w:lang w:val="en-US" w:eastAsia="zh-CN"/>
        </w:rPr>
      </w:pPr>
      <w:r>
        <w:rPr>
          <w:rFonts w:hint="eastAsia"/>
          <w:lang w:val="en-US" w:eastAsia="zh-CN"/>
        </w:rPr>
      </w:r>
      <w:r/>
    </w:p>
    <w:p>
      <w:pPr>
        <w:pStyle w:val="1102"/>
        <w:ind w:left="0" w:firstLine="0"/>
        <w:jc w:val="center"/>
        <w:pageBreakBefore w:val="0"/>
        <w:spacing w:before="0" w:after="0" w:line="480" w:lineRule="exact"/>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0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480" w:lineRule="exact"/>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480" w:lineRule="exact"/>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pageBreakBefore w:val="0"/>
        <w:spacing w:line="480" w:lineRule="exact"/>
        <w:rPr>
          <w:rFonts w:hint="eastAsia"/>
          <w:lang w:val="en-US" w:eastAsia="zh-CN"/>
        </w:rPr>
      </w:pPr>
      <w:r>
        <w:rPr>
          <w:rFonts w:hint="eastAsia"/>
          <w:lang w:val="en-US" w:eastAsia="zh-CN"/>
        </w:rPr>
      </w:r>
      <w:r/>
    </w:p>
    <w:p>
      <w:pPr>
        <w:pStyle w:val="1102"/>
        <w:ind w:left="0" w:firstLine="0"/>
        <w:jc w:val="center"/>
        <w:pageBreakBefore w:val="0"/>
        <w:spacing w:before="0" w:after="0" w:line="480" w:lineRule="exact"/>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第五节  技术要求</w:t>
      </w:r>
      <w:r/>
    </w:p>
    <w:p>
      <w:pPr>
        <w:ind w:left="0" w:firstLine="0"/>
        <w:rPr>
          <w:rFonts w:hint="eastAsia"/>
          <w:b/>
          <w:bCs/>
          <w:lang w:val="en-US" w:eastAsia="zh-CN"/>
        </w:rPr>
      </w:pPr>
      <w:r>
        <w:rPr>
          <w:rFonts w:hint="eastAsia"/>
          <w:b/>
          <w:bCs/>
          <w:lang w:val="en-US" w:eastAsia="zh-CN"/>
        </w:rPr>
        <w:t xml:space="preserve">一、项目背景</w:t>
      </w:r>
      <w:r/>
    </w:p>
    <w:p>
      <w:pPr>
        <w:ind w:firstLine="0"/>
        <w:rPr>
          <w:rFonts w:hint="eastAsia"/>
          <w:b/>
          <w:bCs/>
          <w:lang w:val="en-US" w:eastAsia="zh-CN"/>
        </w:rPr>
      </w:pPr>
      <w:r>
        <w:t xml:space="preserve">    </w:t>
      </w:r>
      <w:bookmarkStart w:id="42" w:name="_Toc19852"/>
      <w:r>
        <w:rPr>
          <w:rFonts w:hint="eastAsia"/>
          <w:b/>
          <w:bCs/>
          <w:lang w:val="en-US" w:eastAsia="zh-CN"/>
        </w:rPr>
        <w:t xml:space="preserve">1.医院信息系统化和数字化现状</w:t>
      </w:r>
      <w:bookmarkEnd w:id="42"/>
      <w:r/>
      <w:r/>
    </w:p>
    <w:p>
      <w:pPr>
        <w:ind w:firstLine="48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于2024年启动数据指挥中心项目建设，已构建起较为完善的数据基础设施和应用体系，为医院数字化转型奠定了坚实基础。为本次项目的建设创造了基础条件。</w:t>
      </w:r>
      <w:r/>
    </w:p>
    <w:p>
      <w:pPr>
        <w:ind w:firstLine="0"/>
        <w:rPr>
          <w:rFonts w:hint="eastAsia"/>
          <w:b/>
          <w:bCs/>
          <w:lang w:val="en-US" w:eastAsia="zh-CN"/>
        </w:rPr>
      </w:pPr>
      <w:r>
        <w:t xml:space="preserve">   </w:t>
      </w:r>
      <w:bookmarkStart w:id="43" w:name="_Toc1326"/>
      <w:r>
        <w:rPr>
          <w:rFonts w:hint="eastAsia"/>
          <w:b/>
          <w:bCs/>
          <w:lang w:val="en-US" w:eastAsia="zh-CN"/>
        </w:rPr>
        <w:t xml:space="preserve">（1）技术基础：已部署全院数据指挥中心</w:t>
      </w:r>
      <w:bookmarkEnd w:id="43"/>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指挥中心形成了完整的数据技术架构体系，基础平台以大数据分布式计算为核心，采用多模异构湖仓集一体架构，兼容hadoop生态接口，统一管理了算力、存储、网络等环境，支持结构化、非结构化、半结构化数据的统一存储、计算、管理。大数据平台适配国内外主流的CPU、操作系统等底层生态以及应用工具（BI），采用SQL开发语言。</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数据存储层面，医院建立了数据湖、数据仓库、数据集市三层数据架构。数据湖作为全院原始数据的大数据基础资源底座，能够存储结构化、半结构化和非结构化数据。数据仓库基于分布式分析型数据库构建，采用列式存储和内存执行引擎，具备在秒级扫描分析数十亿条数据的能力,支持数据大屏、驾驶舱、科室360、报表分析等多种应用场景。</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数据处理层面，医院部署了关系型分析引擎、实时流计算引擎、分布式搜索引擎、数据挖掘平台等多种数据处理工具。关系型分析引擎满足海量数据的批量处理需求，支持日均百万级任务的分布式调度。实时流计算引擎用于海量高并发、低时延要求的实时数据计算和分析场景，可进行基于微批或事件驱动两种方式对实时数据进行处理。</w:t>
      </w:r>
      <w:r/>
    </w:p>
    <w:p>
      <w:pPr>
        <w:ind w:firstLine="0"/>
        <w:rPr>
          <w:rFonts w:hint="eastAsia"/>
          <w:b/>
          <w:bCs/>
          <w:lang w:val="en-US" w:eastAsia="zh-CN"/>
        </w:rPr>
      </w:pPr>
      <w:r>
        <w:t xml:space="preserve">   </w:t>
      </w:r>
      <w:bookmarkStart w:id="44" w:name="_Toc167121598"/>
      <w:r/>
      <w:bookmarkStart w:id="45" w:name="_Toc164211502"/>
      <w:r/>
      <w:bookmarkStart w:id="46" w:name="_Toc161921042"/>
      <w:r/>
      <w:bookmarkStart w:id="47" w:name="_Toc30919"/>
      <w:r>
        <w:rPr>
          <w:rFonts w:hint="eastAsia"/>
          <w:b/>
          <w:bCs/>
          <w:lang w:val="en-US" w:eastAsia="zh-CN"/>
        </w:rPr>
        <w:t xml:space="preserve">（2）数据基础：已接入业务系统</w:t>
      </w:r>
      <w:bookmarkEnd w:id="44"/>
      <w:r/>
      <w:bookmarkEnd w:id="45"/>
      <w:r/>
      <w:bookmarkEnd w:id="46"/>
      <w:r>
        <w:rPr>
          <w:rFonts w:hint="eastAsia"/>
          <w:b/>
          <w:bCs/>
          <w:lang w:val="en-US" w:eastAsia="zh-CN"/>
        </w:rPr>
        <w:t xml:space="preserve">情况</w:t>
      </w:r>
      <w:bookmarkEnd w:id="47"/>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指挥中心已存储医院主要业务系统的数据，覆盖医疗、管理、后勤等领域的数据资源体系，包括HIS系统、住院医生工作站、门诊医生工作站、LIS系统、内镜系统、放射系统、超声系统、护理信息系统、病案系统、CDSS临床辅助决策系统、急诊系统、体检系统、尹哲排队叫号系统、DRG运营分析系统、系统集成平台（主索引）、系统集成平台（主数据管理软件）、运营决策平台、360后台管理等核心业务系统。</w:t>
      </w:r>
      <w:r/>
    </w:p>
    <w:p>
      <w:pPr>
        <w:ind w:firstLine="0"/>
        <w:rPr>
          <w:rFonts w:hint="eastAsia"/>
          <w:lang w:val="en-US" w:eastAsia="zh-CN"/>
        </w:rPr>
      </w:pPr>
      <w:r>
        <w:t xml:space="preserve">   </w:t>
      </w:r>
      <w:bookmarkStart w:id="48" w:name="_Toc167121599"/>
      <w:r/>
      <w:bookmarkStart w:id="49" w:name="_Toc164211503"/>
      <w:r/>
      <w:bookmarkStart w:id="50" w:name="_Toc161921043"/>
      <w:r/>
      <w:bookmarkStart w:id="51" w:name="_Toc28081"/>
      <w:r>
        <w:rPr>
          <w:rFonts w:hint="eastAsia"/>
          <w:b/>
          <w:bCs/>
          <w:lang w:val="en-US" w:eastAsia="zh-CN"/>
        </w:rPr>
        <w:t xml:space="preserve">（3）数据指挥中心数据治理</w:t>
      </w:r>
      <w:bookmarkEnd w:id="48"/>
      <w:r/>
      <w:bookmarkEnd w:id="49"/>
      <w:r/>
      <w:bookmarkEnd w:id="50"/>
      <w:r>
        <w:rPr>
          <w:rFonts w:hint="eastAsia"/>
          <w:b/>
          <w:bCs/>
          <w:lang w:val="en-US" w:eastAsia="zh-CN"/>
        </w:rPr>
        <w:t xml:space="preserve">情况</w:t>
      </w:r>
      <w:bookmarkEnd w:id="51"/>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数据标准管理方面，医院依据数据标准管理规范，对数据标准的制定过程和内容进行管理。医院通过数据标准管理工具，统一全院指标定义、计算口径与数据规范，消除各业务系统间数据标准不一致的问题，保障数据的准确性与可信度。</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数据质量管理方面，主要过程包括质量规则配置和数据质量检核，能够覆盖数据完整性、唯一性、权威性、一致性、合法性等问题。医院通过数据质量管理软件实现事前监控、事中查看、事后预警的全面管理，为进一步发挥数据的作用提供全面保障。</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元数据管理方面，医院提供可视化元数据管理工具，满足进行库表元数据的查看，数据之间血缘关系与影响的查看，以及数据之间依赖关系的分析，确保数据质量。元数据管理是数据治理的基础组件，医院将各类技术元数据、业务元数据、管理元数据通过该系统进行统一采集和维护。</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以上情况为本期项目建设提供了可靠的数据标准保障，使医院能够基于高质量的数据开展医共体协同管理、病种全景分析等应用，确保分析结果的准确性和可信度。</w:t>
      </w:r>
      <w:r/>
    </w:p>
    <w:p>
      <w:pPr>
        <w:ind w:firstLine="0"/>
        <w:rPr>
          <w:rFonts w:hint="eastAsia"/>
          <w:b/>
          <w:bCs/>
          <w:lang w:val="en-US" w:eastAsia="zh-CN"/>
        </w:rPr>
      </w:pPr>
      <w:r>
        <w:t xml:space="preserve">   </w:t>
      </w:r>
      <w:bookmarkStart w:id="52" w:name="_Toc578"/>
      <w:r>
        <w:rPr>
          <w:rFonts w:hint="eastAsia"/>
          <w:b/>
          <w:bCs/>
          <w:lang w:val="en-US" w:eastAsia="zh-CN"/>
        </w:rPr>
        <w:t xml:space="preserve">（4）数据指挥中心应用建设情况</w:t>
      </w:r>
      <w:bookmarkEnd w:id="52"/>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数据指挥中心建设了多个数据应用场景，包括数据指挥中心、数据管理平台、自定义报表等应用。</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指挥中心是医院实现可视化管理和决策支持的关键组成部分，大屏通过将医院的关键数据和信息以直观、易理解的图形和图表形式展现，使医院管理层能够实时监控医院运营状态，快速获取关键业务指标和异常情况。大屏涵盖了医疗服务体量、医疗质量、住院管理、门诊管理、财务管理、科室360、国考指标等多个领域的核心指标，提供了全面的医院运营态势感知能力。</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管理平台为医院各级管理人员提供了便捷的数据查询和分析工具。平台建立了综合的医院运营指标体系，包括医疗服务规模、医疗服务质量、医疗结构、医疗费用等关键指标，并利用数据分析和可视化技术，将这些指标以直观、清晰的图表和报表呈现出来。</w:t>
      </w:r>
      <w:r/>
    </w:p>
    <w:p>
      <w:pPr>
        <w:ind w:firstLine="0"/>
        <w:rPr>
          <w:rFonts w:hint="eastAsia"/>
          <w:b/>
          <w:bCs/>
          <w:lang w:val="en-US" w:eastAsia="zh-CN"/>
        </w:rPr>
      </w:pPr>
      <w:r>
        <w:t xml:space="preserve">    </w:t>
      </w:r>
      <w:bookmarkStart w:id="53" w:name="_Toc851"/>
      <w:r>
        <w:rPr>
          <w:rFonts w:hint="eastAsia"/>
          <w:b/>
          <w:bCs/>
          <w:lang w:val="en-US" w:eastAsia="zh-CN"/>
        </w:rPr>
        <w:t xml:space="preserve">2.项目建设必要性</w:t>
      </w:r>
      <w:bookmarkEnd w:id="53"/>
      <w:r/>
      <w:r/>
    </w:p>
    <w:p>
      <w:pPr>
        <w:ind w:firstLine="480"/>
        <w:pageBreakBefore w:val="0"/>
        <w:spacing w:before="60" w:after="60" w:line="480" w:lineRule="exact"/>
        <w:rPr>
          <w:rFonts w:hint="eastAsia" w:ascii="宋体" w:hAnsi="宋体" w:eastAsia="宋体" w:cs="宋体"/>
          <w:color w:val="333333"/>
          <w:sz w:val="28"/>
          <w:szCs w:val="28"/>
        </w:rPr>
      </w:pPr>
      <w:r/>
      <w:bookmarkStart w:id="54" w:name="_Hlk213870068"/>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已建设数据指挥中心形成了坚实的数据底座与初步的应用体系，实现了数据的汇聚、治理与初步可视化。然而在“1+9+N”</w:t>
      </w:r>
      <w:bookmarkStart w:id="55" w:name="OLE_LINK5"/>
      <w:r>
        <w:rPr>
          <w:rFonts w:hint="eastAsia" w:ascii="宋体" w:hAnsi="宋体" w:eastAsia="宋体" w:cs="宋体"/>
          <w:color w:val="333333"/>
          <w:sz w:val="28"/>
          <w:szCs w:val="28"/>
        </w:rPr>
        <w:t xml:space="preserve">医共体</w:t>
      </w:r>
      <w:bookmarkEnd w:id="55"/>
      <w:r>
        <w:rPr>
          <w:rFonts w:hint="eastAsia" w:ascii="宋体" w:hAnsi="宋体" w:eastAsia="宋体" w:cs="宋体"/>
          <w:color w:val="333333"/>
          <w:sz w:val="28"/>
          <w:szCs w:val="28"/>
        </w:rPr>
        <w:t xml:space="preserve">集团建设、国家医改的持续深化以及公立医院高质量发展和管理精细化的大背景下，对数据应用的深度与广度提出了新要求。</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一方面打通区域医共体数据满足集团医院和乡镇卫生院的数据需求迫在眉睫；另一方面需要实现医院重点特色科室在精细化运营和病种数据洞察的能力，解决医院业务运营的数据需求和痛点，赋能业务最终提高患者就医体验；与此同时随着医院发展等级医院评审和专科服务能力指标体系建设需要更夯实的基础底座。因此本期项目建设既是数据指挥中心赋能业务数据能力的延续，也是在新的发展形势下，推动医院数据应用从“基础建设”向“深度赋能”转型的必然选择。</w:t>
      </w:r>
      <w:bookmarkEnd w:id="54"/>
      <w:r/>
      <w:r/>
    </w:p>
    <w:p>
      <w:pPr>
        <w:ind w:firstLine="0"/>
        <w:rPr>
          <w:rFonts w:hint="eastAsia"/>
          <w:b/>
          <w:bCs/>
          <w:lang w:val="en-US" w:eastAsia="zh-CN"/>
        </w:rPr>
      </w:pPr>
      <w:r>
        <w:t xml:space="preserve">   </w:t>
      </w:r>
      <w:bookmarkStart w:id="56" w:name="_Toc14785"/>
      <w:r>
        <w:rPr>
          <w:rFonts w:hint="eastAsia"/>
          <w:b/>
          <w:bCs/>
          <w:lang w:val="en-US" w:eastAsia="zh-CN"/>
        </w:rPr>
        <w:t xml:space="preserve">（1）推进医共体协同管理，提升区域整体服务水平</w:t>
      </w:r>
      <w:bookmarkEnd w:id="56"/>
      <w:r/>
      <w:r/>
    </w:p>
    <w:p>
      <w:pPr>
        <w:ind w:firstLine="48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国家卫生健康委等十部门联合印发的《关于全面推进紧密型县域医疗卫生共同体建设的指导意见》（国卫基层发〔2023〕41号）明确提出，围绕“县级强、乡级活、村级稳、上下联、信息通"的目标，到2025年底，力争全国90%以上的县基本建成紧密型县域医共体。该指导意见特别强调要“推进县域医共体信息平台建设，统一县域医共体内信息系统，加强数据互通共享和业务协同”，“建立县域医共体运营监测评价体系，定期开展运营监测和绩效评价”。为医院建设医共体运营管理驾驶舱提供了明确的政策依据和建设方向。</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作为金坛区医共体的牵头医院，深刻理解数据互联互通和业务协同在紧密型医共体建设中的重要性。因此需要建设医共体运营管理驾驶舱，打破集团与分院之间的数据壁垒，构建覆盖金坛区“1+9+N”医共体的数据监控与决策支持体系。</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一方面基层医疗机构的数据对于全面了解当地居民的健康状况和医疗需求至关重要，同时也是逐步完善集团对下属乡镇医院发展监测，完善各级机构间的信息共享的技术和数据能力。</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另一方面，从整体数字化推进理念和目标上，</w:t>
      </w:r>
      <w:bookmarkStart w:id="57" w:name="OLE_LINK14"/>
      <w:r>
        <w:rPr>
          <w:rFonts w:hint="eastAsia" w:ascii="宋体" w:hAnsi="宋体" w:eastAsia="宋体" w:cs="宋体"/>
          <w:color w:val="333333"/>
          <w:sz w:val="28"/>
          <w:szCs w:val="28"/>
        </w:rPr>
        <w:t xml:space="preserve">以</w:t>
      </w:r>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为中心，将“数智”作为医疗水平提升的生产力和医疗资源下沉的生产工具；形成区域卫生健康综合数据汇聚存储计算、共享中心，打造城市医疗集团（上海市第一人民医院）+县级医院（</w:t>
      </w:r>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综合能力提升+县乡村镇一体化的“医联体+医共体”的多层级数智化体系，形成区域医疗数据资源流动通道，实现医疗服务水平提升和医疗资源下沉共享，让广大城乡居民能够就近获得更加公平可及、系统连续的优质医疗卫生服务。</w:t>
      </w:r>
      <w:bookmarkEnd w:id="57"/>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因此在技术层面需通过大数据平台汇聚区医共体的相关数据，开展集团管理驾驶舱、分院运营驾驶舱建设，为集团管理者提供医共体整体运营的宏观视野，为分院管理者提供聚焦自身业务的微观视图，实现“一院一策”的精准管理，推动医共体从“形式联合”向“实质一体”转变。</w:t>
      </w:r>
      <w:r/>
    </w:p>
    <w:p>
      <w:pPr>
        <w:ind w:firstLine="0"/>
        <w:rPr>
          <w:rFonts w:hint="eastAsia"/>
          <w:b/>
          <w:bCs/>
          <w:lang w:val="en-US" w:eastAsia="zh-CN"/>
        </w:rPr>
      </w:pPr>
      <w:r>
        <w:t xml:space="preserve">   </w:t>
      </w:r>
      <w:bookmarkStart w:id="58" w:name="_Toc18372"/>
      <w:r>
        <w:rPr>
          <w:rFonts w:hint="eastAsia"/>
          <w:b/>
          <w:bCs/>
          <w:lang w:val="en-US" w:eastAsia="zh-CN"/>
        </w:rPr>
        <w:t xml:space="preserve">（2）科室精细化运营能力提升</w:t>
      </w:r>
      <w:bookmarkEnd w:id="58"/>
      <w:r/>
      <w:r/>
    </w:p>
    <w:p>
      <w:pPr>
        <w:ind w:firstLine="480"/>
        <w:pageBreakBefore w:val="0"/>
        <w:spacing w:before="60" w:after="60" w:line="480" w:lineRule="exact"/>
        <w:rPr>
          <w:rFonts w:hint="eastAsia" w:ascii="宋体" w:hAnsi="宋体" w:eastAsia="宋体" w:cs="宋体"/>
          <w:color w:val="333333"/>
          <w:sz w:val="28"/>
          <w:szCs w:val="28"/>
        </w:rPr>
      </w:pPr>
      <w:r/>
      <w:bookmarkStart w:id="59" w:name="OLE_LINK11"/>
      <w:r>
        <w:rPr>
          <w:rFonts w:hint="eastAsia" w:ascii="宋体" w:hAnsi="宋体" w:eastAsia="宋体" w:cs="宋体"/>
          <w:color w:val="333333"/>
          <w:sz w:val="28"/>
          <w:szCs w:val="28"/>
        </w:rPr>
        <w:t xml:space="preserve">医疗行业竞争日益激烈、DRG/DIP支付改革不断深化的当下，医院的收入模式正从“收入驱动”转向“成本和效率驱动”</w:t>
      </w:r>
      <w:bookmarkEnd w:id="59"/>
      <w:r>
        <w:rPr>
          <w:rFonts w:hint="eastAsia" w:ascii="宋体" w:hAnsi="宋体" w:eastAsia="宋体" w:cs="宋体"/>
          <w:color w:val="333333"/>
          <w:sz w:val="28"/>
          <w:szCs w:val="28"/>
        </w:rPr>
        <w:t xml:space="preserve">。新的支付方式改变了传统的功能制医疗的按项目付费制度，如果不实行系统化运营之下的精细化管理，由自行主导的项目医疗成本将无法做到有效管控，也就是说，需要以疾病医疗为切入点，而不是以项目医疗为切入点，因此需要能有效地应对第三方对于费用支付的审核，从而确保医院在对就诊者的医疗行为中的成本支出不会超出第三方的支付额度，从而保障运营不至于亏损。</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另一方面，医疗从功能型医疗向价值型医疗转化，成本的效用与节省就成为了医院运营的核心，从而为精细化运营模式的应用创造了一个必要且充分的管理环境，其作为一种注重细节、过程和质量的管理理念，正成为医院提升运营效率、控制成本、改善服务质量的关键举措。</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在此背景下，科室面临着提升收入与控制成本的双重压力，一方面需要提高运营效率，优化资源配置；另一方面在DRG/DIP支付方式下，需精准控制医疗成本，避免超支亏损。但精准的前提是需要可靠及时的数据支撑。</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当下公立医院面临着直接的市场竞争压力，尤其是县级区域性医院，而个性化与精细化结合是发展的必然，也需要以医疗健康服务的“产品”化作为基础，将医疗的价值通过有形化而呈现在就诊者面前，能让就诊者具有完整、良好的体验，以实现医疗过程的价值而不仅仅是反映其效果。作为县级医院面临最多的是慢性病医疗与健康促进性医疗并不能很快展现其医疗的效果，需要长期跟踪监测，因此以重点科室病种为维度，提供病种全景，为科室打造服务患者的医疗服务“产品”，成为重要的切入方式。</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此外，精细化管理是一个动态的过程，医院需建立定期反馈机制，收集员工和患者意见，收集到反馈意见后，需及时制定和执行改进方案，并定期复盘效果，通过“反馈—优化—复盘”闭环实现持续改进。这就对数据的时效、维度、准确提出了更高的要求，通过数据驱动决策，提升决策精准度成为践行精细化运营管理的重要手段之一。</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 xml:space="preserve">金坛第一人民医院</w:t>
      </w:r>
      <w:r>
        <w:rPr>
          <w:rFonts w:hint="eastAsia" w:ascii="宋体" w:hAnsi="宋体" w:eastAsia="宋体" w:cs="宋体"/>
          <w:color w:val="333333"/>
          <w:sz w:val="28"/>
          <w:szCs w:val="28"/>
        </w:rPr>
        <w:t xml:space="preserve">通过多年的建设和发展，已经实现了医疗领域的规范化，正在打造精细化运营管理医院，并逐步向个性化发展。然而当前科室管理者对自身收治病种的结构、成本构成、盈亏状况，患者基础特征、患者费用特性、主要病种医保结付情况等数据需要更高效、更准确、更及时、更系统的技术支撑和可视化看板，提高工作效率和决策。</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因此需以精细化运营管理为方向，通过数字化、智慧化手段，</w:t>
      </w:r>
      <w:bookmarkStart w:id="60" w:name="OLE_LINK18"/>
      <w:r>
        <w:rPr>
          <w:rFonts w:hint="eastAsia" w:ascii="宋体" w:hAnsi="宋体" w:eastAsia="宋体" w:cs="宋体"/>
          <w:color w:val="333333"/>
          <w:sz w:val="28"/>
          <w:szCs w:val="28"/>
        </w:rPr>
        <w:t xml:space="preserve">为医院重点科室提供病种全景分析专题，通过对病种、患者、费用的多维度数据挖掘，帮助临床科室精准识别优势病种、潜力病种，降低医疗成本，提升科室精细化管理水平，让就诊者具有良好的就医体验。</w:t>
      </w:r>
      <w:bookmarkEnd w:id="60"/>
      <w:r/>
      <w:r/>
    </w:p>
    <w:p>
      <w:pPr>
        <w:ind w:firstLine="0"/>
        <w:rPr>
          <w:rFonts w:hint="eastAsia"/>
          <w:lang w:val="en-US" w:eastAsia="zh-CN"/>
        </w:rPr>
      </w:pPr>
      <w:r>
        <w:t xml:space="preserve">   </w:t>
      </w:r>
      <w:bookmarkStart w:id="61" w:name="_Toc12107"/>
      <w:r>
        <w:rPr>
          <w:rFonts w:hint="eastAsia"/>
          <w:b/>
          <w:bCs/>
          <w:lang w:val="en-US" w:eastAsia="zh-CN"/>
        </w:rPr>
        <w:t xml:space="preserve">（3）提升管理决策时效性，满足移动办公需求</w:t>
      </w:r>
      <w:bookmarkEnd w:id="61"/>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当前，我院数据指挥中心一期项目虽已建成，实现了核心数据的可视化展示，但其应用场景主要局限于固定场所的PC端或中心大屏，这在一定程度上限制了数据的可及性与应用时效性。医院管理者日常工作繁忙，会议、巡查、外出等移动场景频繁，对实时掌握医院运营关键指标存在迫切需求。然而，传统的数据访问模式导致决策者无法在移动状态下便捷地获取数据支持，造成决策延迟或依赖于滞后信息。</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将数据服务推送至管理者的移动设备上，这不仅打破了时空限制，使得管理者无论身在何处，都能第一时间掌握门诊、住院、手术、收入、药占比、医疗效率等核心指标的动态变化，还能通过趋势分析、多维对比等功能，快速洞察问题、发现异常，从而显著提升决策的及时性与精准性。这对于应对突发公共卫生事件、实时调整运营策略、加强日常监管具有重要价值，是推动医院管理向“主动发现、敏捷应对”模式转型升级的必要举-措。</w:t>
      </w:r>
      <w:r/>
    </w:p>
    <w:p>
      <w:pPr>
        <w:ind w:firstLine="0"/>
        <w:rPr>
          <w:rFonts w:hint="eastAsia"/>
          <w:lang w:val="en-US" w:eastAsia="zh-CN"/>
        </w:rPr>
      </w:pPr>
      <w:r>
        <w:t xml:space="preserve">    </w:t>
      </w:r>
      <w:bookmarkStart w:id="62" w:name="_Toc167121600"/>
      <w:r/>
      <w:bookmarkStart w:id="63" w:name="_Toc164211504"/>
      <w:r/>
      <w:bookmarkStart w:id="64" w:name="_Toc161921044"/>
      <w:r/>
      <w:bookmarkStart w:id="65" w:name="_Toc5044"/>
      <w:r>
        <w:rPr>
          <w:rFonts w:hint="eastAsia"/>
          <w:b/>
          <w:bCs/>
          <w:lang w:val="en-US" w:eastAsia="zh-CN"/>
        </w:rPr>
        <w:t xml:space="preserve">3.存在的痛点与需求</w:t>
      </w:r>
      <w:bookmarkEnd w:id="62"/>
      <w:r/>
      <w:bookmarkEnd w:id="63"/>
      <w:r/>
      <w:bookmarkEnd w:id="64"/>
      <w:r/>
      <w:bookmarkEnd w:id="65"/>
      <w:r/>
      <w:r/>
    </w:p>
    <w:p>
      <w:pPr>
        <w:ind w:firstLine="48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随着医院数字化转型的深入，医院在日常运营与战略发展中对数据的新需求不断增加，如不能及时解决不仅制约了管理效率的提升，也影响了医疗服务质量的持续改进。本项目聚焦于当前医院在医共体协同管理、医院科室病种全景分析两大核心领域的痛点，开展数字化建设。</w:t>
      </w:r>
      <w:r/>
    </w:p>
    <w:p>
      <w:pPr>
        <w:ind w:firstLine="0"/>
        <w:rPr>
          <w:rFonts w:hint="eastAsia"/>
          <w:b/>
          <w:bCs/>
          <w:lang w:val="en-US" w:eastAsia="zh-CN"/>
        </w:rPr>
      </w:pPr>
      <w:r>
        <w:t xml:space="preserve">   </w:t>
      </w:r>
      <w:bookmarkStart w:id="66" w:name="_Toc26218"/>
      <w:r>
        <w:rPr>
          <w:rFonts w:hint="eastAsia"/>
          <w:b/>
          <w:bCs/>
          <w:lang w:val="en-US" w:eastAsia="zh-CN"/>
        </w:rPr>
        <w:t xml:space="preserve">（1）医共体协同管理：从业务协同到管理增效的数据决策需求</w:t>
      </w:r>
      <w:bookmarkEnd w:id="66"/>
      <w:r/>
      <w:r/>
    </w:p>
    <w:p>
      <w:pPr>
        <w:ind w:firstLine="480"/>
        <w:jc w:val="both"/>
        <w:pageBreakBefore w:val="0"/>
        <w:spacing w:before="120" w:after="12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金坛区医共体已成功构建了覆盖各成员单位的基层医疗信息系统、基本公共卫生服务信息系统、家庭医生签约系统等核心业务信息系统。这些系统的稳定运行保障了医共体日常业务的顺利开展与跨机构的业务协同，为一体化服务奠定了坚实的基础。</w:t>
      </w:r>
      <w:r/>
    </w:p>
    <w:p>
      <w:pPr>
        <w:ind w:firstLine="480"/>
        <w:jc w:val="both"/>
        <w:pageBreakBefore w:val="0"/>
        <w:spacing w:before="120"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333333"/>
          <w:sz w:val="28"/>
          <w:szCs w:val="28"/>
          <w:lang w:val="en-US" w:eastAsia="zh-CN" w:bidi="ar-SA"/>
        </w:rPr>
        <w:t xml:space="preserve">随着医共体建设进入深水区，新的挑战浮出水面：在宏观管理和精准决策上仍缺乏有效的数据抓手,无法满足集团与分院的差异化需求。</w:t>
      </w:r>
      <w:bookmarkStart w:id="67" w:name="OLE_LINK19"/>
      <w:r>
        <w:rPr>
          <w:rFonts w:hint="eastAsia" w:ascii="宋体" w:hAnsi="宋体" w:eastAsia="宋体" w:cs="宋体"/>
          <w:color w:val="333333"/>
          <w:sz w:val="28"/>
          <w:szCs w:val="28"/>
          <w:lang w:val="en-US" w:eastAsia="zh-CN" w:bidi="ar-SA"/>
        </w:rPr>
        <w:t xml:space="preserve">对于集团（牵头医院）：迫切需要一个能够整合、分析、展示医共体全域数据的“管理驾驶舱”，从宏观视角洞察各分院运营状况、横向对比关键指标、预警潜在风险，为集团的资源调配、发展规划提供量化的决策依据。对于分院（成员单位）：同样需要一个聚焦自身运营的“微观视图”，以便清晰了解本院考核指标完成情况、在医共体中的相对位置等，从而进行精细化的内部管理和针对性的服务能力提升。</w:t>
      </w:r>
      <w:bookmarkEnd w:id="67"/>
      <w:r/>
      <w:r/>
    </w:p>
    <w:p>
      <w:pPr>
        <w:ind w:firstLine="0"/>
        <w:rPr>
          <w:rFonts w:hint="eastAsia"/>
          <w:b/>
          <w:bCs/>
          <w:lang w:val="en-US" w:eastAsia="zh-CN"/>
        </w:rPr>
      </w:pPr>
      <w:r>
        <w:t xml:space="preserve">   </w:t>
      </w:r>
      <w:bookmarkStart w:id="68" w:name="OLE_LINK8"/>
      <w:r/>
      <w:bookmarkStart w:id="69" w:name="_Toc15269"/>
      <w:r>
        <w:rPr>
          <w:rFonts w:hint="eastAsia"/>
          <w:b/>
          <w:bCs/>
          <w:lang w:val="en-US" w:eastAsia="zh-CN"/>
        </w:rPr>
        <w:t xml:space="preserve">（2）病种全景分析</w:t>
      </w:r>
      <w:bookmarkEnd w:id="68"/>
      <w:r>
        <w:rPr>
          <w:rFonts w:hint="eastAsia"/>
          <w:b/>
          <w:bCs/>
          <w:lang w:val="en-US" w:eastAsia="zh-CN"/>
        </w:rPr>
        <w:t xml:space="preserve">：从"经验驱动"到"数据决策"的需求</w:t>
      </w:r>
      <w:bookmarkEnd w:id="69"/>
      <w:r/>
      <w:r/>
    </w:p>
    <w:p>
      <w:pPr>
        <w:ind w:firstLine="480"/>
        <w:jc w:val="both"/>
        <w:pageBreakBefore w:val="0"/>
        <w:spacing w:before="120" w:after="12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在药品耗材零加成和DRG/DIP支付方式改革的双重背景下，医院科室普遍面临着巨大的经营压力。然而科室的运营决策很多时候存在 “经验驱动”，医院有几十套信息化系统，但缺乏针对科室病种分析的专项应用，科室主任对本科室收治的病种缺乏精细化的数据分析，无法清晰辨别哪些是优势病种、哪些是亏损病种，导致在制定策略时缺少及时准确的数据支撑依据。病种结构与费用分布不清，是影响医疗决策效率的第一难题。</w:t>
      </w:r>
      <w:r/>
    </w:p>
    <w:p>
      <w:pPr>
        <w:ind w:firstLine="480"/>
        <w:jc w:val="both"/>
        <w:pageBreakBefore w:val="0"/>
        <w:spacing w:before="120" w:after="12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此外医院在进行成本控制时，无法深入到具体病种成本构成进行优化，也面临费用结构优化困难，医保控费政策（如DRG病组成本约束）与区域疾病谱变化对病种分析提出更高要求，但临床路径与诊断信息需要对齐，也需要精准还原诊疗过程。同时由于对患者群体的画像特征（如年龄、性别、医保类型、慢性病情况等）了解不足，科室在优化服务流程、提升患者满意度方面也常常缺乏数据支撑或者数据滞后，导致“无的放矢”。</w:t>
      </w:r>
      <w:r/>
    </w:p>
    <w:p>
      <w:pPr>
        <w:ind w:firstLine="0"/>
        <w:rPr>
          <w:rFonts w:hint="eastAsia"/>
          <w:lang w:val="en-US" w:eastAsia="zh-CN"/>
        </w:rPr>
      </w:pPr>
      <w:r>
        <w:t xml:space="preserve">   </w:t>
      </w:r>
      <w:bookmarkStart w:id="70" w:name="_Toc11346"/>
      <w:r>
        <w:rPr>
          <w:rFonts w:hint="eastAsia"/>
          <w:b/>
          <w:bCs/>
          <w:lang w:val="en-US" w:eastAsia="zh-CN"/>
        </w:rPr>
        <w:t xml:space="preserve">（3）数据决策的移动场景缺位：管理决策“最后一公里”的瓶颈</w:t>
      </w:r>
      <w:bookmarkEnd w:id="7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尽管数据指挥中心汇聚了海量数据，但在数据应用的“最后一公里”，即如何将数据精准、实时地送达至管理者手中，存在瓶颈。当前主要痛点与需求体现在：</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管理盲区：</w:t>
      </w:r>
      <w:r>
        <w:rPr>
          <w:rFonts w:hint="eastAsia" w:ascii="宋体" w:hAnsi="宋体" w:eastAsia="宋体" w:cs="宋体"/>
          <w:sz w:val="28"/>
          <w:szCs w:val="28"/>
          <w:lang w:val="en-US" w:eastAsia="zh-CN"/>
        </w:rPr>
        <w:t xml:space="preserve">医院管理者尤其是科室主任</w:t>
      </w:r>
      <w:r>
        <w:rPr>
          <w:rFonts w:hint="eastAsia" w:ascii="宋体" w:hAnsi="宋体" w:eastAsia="宋体" w:cs="宋体"/>
          <w:sz w:val="28"/>
          <w:szCs w:val="28"/>
        </w:rPr>
        <w:t xml:space="preserve">无法对夜间、周末等非办公时间的突发状况（如床位紧张、急诊拥堵、关键指标异常）进行及时监控和干预。</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沟通成本增加：需要数据时，必须电话联系信息科或相关科室人员临时提取，流程繁琐，沟通成本高。</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3.3</w:t>
      </w:r>
      <w:r>
        <w:rPr>
          <w:rFonts w:hint="eastAsia" w:ascii="宋体" w:hAnsi="宋体" w:eastAsia="宋体" w:cs="宋体"/>
          <w:sz w:val="28"/>
          <w:szCs w:val="28"/>
        </w:rPr>
        <w:t xml:space="preserve">数据呈现的局限性：PC端驾驶舱的复杂布局与交互方式难以直接适配移动小屏幕，信息密度过高、操作不便，导致用户体验不佳。管理者需要一个经过专门设计、符合移动端使用习惯、指标高度浓缩、界面简洁直观的数据呈现方式。</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因此，开发一个移动端决策应用，打通数据到决策的“最后一公里”，已成为提升医院管理效率的迫切需求。</w:t>
      </w:r>
      <w:r/>
    </w:p>
    <w:p>
      <w:pPr>
        <w:ind w:firstLine="0"/>
        <w:rPr>
          <w:rFonts w:hint="eastAsia"/>
          <w:b/>
          <w:bCs/>
          <w:lang w:val="en-US" w:eastAsia="zh-CN"/>
        </w:rPr>
      </w:pPr>
      <w:r/>
      <w:bookmarkStart w:id="71" w:name="_Toc16352"/>
      <w:r>
        <w:rPr>
          <w:rFonts w:hint="eastAsia"/>
          <w:b/>
          <w:bCs/>
          <w:lang w:val="en-US" w:eastAsia="zh-CN"/>
        </w:rPr>
        <w:t xml:space="preserve">   （4）数据中台能力提升：</w:t>
      </w:r>
      <w:bookmarkStart w:id="72" w:name="OLE_LINK9"/>
      <w:r>
        <w:rPr>
          <w:rFonts w:hint="eastAsia"/>
          <w:b/>
          <w:bCs/>
          <w:lang w:val="en-US" w:eastAsia="zh-CN"/>
        </w:rPr>
        <w:t xml:space="preserve">从“单体应用"到"集团医疗平台"的</w:t>
      </w:r>
      <w:bookmarkEnd w:id="72"/>
      <w:r>
        <w:rPr>
          <w:rFonts w:hint="eastAsia"/>
          <w:b/>
          <w:bCs/>
          <w:lang w:val="en-US" w:eastAsia="zh-CN"/>
        </w:rPr>
        <w:t xml:space="preserve">需求</w:t>
      </w:r>
      <w:bookmarkEnd w:id="71"/>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随着医院高质量发展战略的深入推进，医共体建设的全面铺开，DRG/DIP支付改革的持续深化，以及等级医院评审、专科服务能力指标体系建设等新任务的不断涌现，医院对数据中台的能力需求呈现出多样化、精细化、智能化的新特征。</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本期项目需要在医院已建设的数据指挥中心的经验基础上，利用好数据中台的核心能力，推动医院数据应用从“单点应用”向“平台赋能”，充分发挥数据的乘数效应，实现资源复用，提高原有投资效率。</w:t>
      </w:r>
      <w:r/>
    </w:p>
    <w:p>
      <w:pPr>
        <w:ind w:firstLine="0"/>
        <w:rPr>
          <w:rFonts w:hint="eastAsia"/>
          <w:lang w:val="en-US" w:eastAsia="zh-CN"/>
        </w:rPr>
      </w:pPr>
      <w:r>
        <w:t xml:space="preserve">    </w:t>
      </w:r>
      <w:bookmarkStart w:id="73" w:name="_Toc28773"/>
      <w:r/>
      <w:bookmarkStart w:id="74" w:name="_Toc167121620"/>
      <w:r>
        <w:rPr>
          <w:rFonts w:hint="eastAsia"/>
          <w:b/>
          <w:bCs/>
          <w:lang w:val="en-US" w:eastAsia="zh-CN"/>
        </w:rPr>
        <w:t xml:space="preserve">4.技术可行性分析</w:t>
      </w:r>
      <w:bookmarkEnd w:id="73"/>
      <w:r/>
      <w:bookmarkEnd w:id="74"/>
      <w:r/>
      <w:r/>
    </w:p>
    <w:p>
      <w:pPr>
        <w:ind w:firstLine="0"/>
        <w:rPr>
          <w:rFonts w:hint="eastAsia"/>
          <w:b/>
          <w:bCs/>
          <w:lang w:val="en-US" w:eastAsia="zh-CN"/>
        </w:rPr>
      </w:pPr>
      <w:r/>
      <w:bookmarkStart w:id="75" w:name="_Toc2430"/>
      <w:r/>
      <w:bookmarkStart w:id="76" w:name="_Toc167121621"/>
      <w:r>
        <w:rPr>
          <w:rFonts w:hint="eastAsia"/>
          <w:b/>
          <w:bCs/>
          <w:lang w:val="en-US" w:eastAsia="zh-CN"/>
        </w:rPr>
        <w:t xml:space="preserve">   （1）技术先进性</w:t>
      </w:r>
      <w:bookmarkEnd w:id="75"/>
      <w:r/>
      <w:bookmarkEnd w:id="76"/>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系统采用先进的技术体系结构，采用面向服务的架构（SOA）,保证在使用期间体系结构不会落后。另外，本系统与其他软、硬件产品的选择上，要能与主流的成熟产品和生态适配，以保证系统安全、可靠地运行。</w:t>
      </w:r>
      <w:r/>
    </w:p>
    <w:p>
      <w:pPr>
        <w:ind w:firstLine="0"/>
        <w:rPr>
          <w:rFonts w:hint="eastAsia"/>
          <w:lang w:val="en-US" w:eastAsia="zh-CN"/>
        </w:rPr>
      </w:pPr>
      <w:r>
        <w:t xml:space="preserve">   </w:t>
      </w:r>
      <w:bookmarkStart w:id="77" w:name="_Toc14762"/>
      <w:r/>
      <w:bookmarkStart w:id="78" w:name="_Toc167121622"/>
      <w:r>
        <w:rPr>
          <w:rFonts w:hint="eastAsia"/>
          <w:b/>
          <w:bCs/>
          <w:lang w:val="en-US" w:eastAsia="zh-CN"/>
        </w:rPr>
        <w:t xml:space="preserve">（2）系统安全性</w:t>
      </w:r>
      <w:bookmarkEnd w:id="77"/>
      <w:r/>
      <w:bookmarkEnd w:id="78"/>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院数据指挥中心汇聚的数据信息是医院最为关键的数据信息之一，系统能采取全方位防范措施，以保证数据安全。在各个环节上有相应的安全措施来保障，因此系统要具备安全相关的功能，比如系统访问控制、数据通信加密、系统日志纪录、数据备份与恢复等。</w:t>
      </w:r>
      <w:r/>
    </w:p>
    <w:p>
      <w:pPr>
        <w:ind w:firstLine="0"/>
        <w:rPr>
          <w:rFonts w:hint="eastAsia"/>
          <w:b/>
          <w:bCs/>
          <w:lang w:val="en-US" w:eastAsia="zh-CN"/>
        </w:rPr>
      </w:pPr>
      <w:r/>
      <w:bookmarkStart w:id="79" w:name="_Toc167121623"/>
      <w:r/>
      <w:bookmarkStart w:id="80" w:name="_Toc1135"/>
      <w:r>
        <w:rPr>
          <w:rFonts w:hint="eastAsia"/>
          <w:b/>
          <w:bCs/>
          <w:lang w:val="en-US" w:eastAsia="zh-CN"/>
        </w:rPr>
        <w:t xml:space="preserve">   （3）系统易用性</w:t>
      </w:r>
      <w:bookmarkEnd w:id="79"/>
      <w:r/>
      <w:bookmarkEnd w:id="8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系统功能具有良好的用户界面，易学易用，并且在功能、业务流程上具有易操作性。系统提供操作手册、在线帮助，功能键的安排较符合使用人员习惯，数据能够以清单、表格、图形等形式显示、打印。</w:t>
      </w:r>
      <w:r/>
    </w:p>
    <w:p>
      <w:pPr>
        <w:ind w:firstLine="0"/>
        <w:rPr>
          <w:rFonts w:hint="eastAsia"/>
          <w:lang w:val="en-US" w:eastAsia="zh-CN"/>
        </w:rPr>
      </w:pPr>
      <w:r>
        <w:t xml:space="preserve">   </w:t>
      </w:r>
      <w:bookmarkStart w:id="81" w:name="_Toc26932"/>
      <w:r/>
      <w:bookmarkStart w:id="82" w:name="_Toc167121624"/>
      <w:r>
        <w:rPr>
          <w:rFonts w:hint="eastAsia"/>
          <w:b/>
          <w:bCs/>
          <w:lang w:val="en-US" w:eastAsia="zh-CN"/>
        </w:rPr>
        <w:t xml:space="preserve">（4）系统扩充性</w:t>
      </w:r>
      <w:bookmarkEnd w:id="81"/>
      <w:r/>
      <w:bookmarkEnd w:id="82"/>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系统采用结构化、层次化设计结构，使系统易于维护和升级，系统采用模块化设计，并保证各版本之间具有良好的兼容性，不会因为系统中某些模块的改变而影响整个系统的正常运行。系统软件尽可能做到“零”维护，同时实现简便易操作的远程维护。</w:t>
      </w:r>
      <w:r/>
    </w:p>
    <w:p>
      <w:pPr>
        <w:ind w:firstLine="0"/>
        <w:rPr>
          <w:rFonts w:hint="eastAsia"/>
          <w:b/>
          <w:bCs/>
          <w:lang w:val="en-US" w:eastAsia="zh-CN"/>
        </w:rPr>
      </w:pPr>
      <w:r/>
      <w:bookmarkStart w:id="83" w:name="_Toc167121625"/>
      <w:r/>
      <w:bookmarkStart w:id="84" w:name="_Toc9942"/>
      <w:r>
        <w:rPr>
          <w:rFonts w:hint="eastAsia"/>
          <w:b/>
          <w:bCs/>
          <w:lang w:val="en-US" w:eastAsia="zh-CN"/>
        </w:rPr>
        <w:t xml:space="preserve">   （5）硬件适应性</w:t>
      </w:r>
      <w:bookmarkEnd w:id="83"/>
      <w:r/>
      <w:bookmarkEnd w:id="84"/>
      <w:r/>
      <w:r/>
    </w:p>
    <w:p>
      <w:pPr>
        <w:ind w:firstLine="480"/>
        <w:pageBreakBefore w:val="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系统能安装在小型机等硬件设备上，并且随着硬件设备性能的提升，软件的性能会有显著改善。系统支持跨操作系统（windows、国产麒麟、统信等），支持各种主流硬件平台，具备良好的可移植性，客户端跨平台使用，同时支持移动工作平台。</w:t>
      </w:r>
      <w:r/>
    </w:p>
    <w:p>
      <w:pPr>
        <w:ind w:left="0" w:firstLine="0"/>
        <w:rPr>
          <w:rFonts w:hint="eastAsia"/>
          <w:lang w:val="en-US" w:eastAsia="zh-CN"/>
        </w:rPr>
      </w:pPr>
      <w:r>
        <w:rPr>
          <w:rFonts w:hint="eastAsia" w:ascii="宋体" w:hAnsi="宋体" w:eastAsia="宋体" w:cs="宋体"/>
          <w:sz w:val="28"/>
          <w:szCs w:val="28"/>
        </w:rPr>
        <w:t xml:space="preserve">★</w:t>
      </w:r>
      <w:r>
        <w:rPr>
          <w:rFonts w:hint="eastAsia"/>
          <w:b/>
          <w:bCs/>
          <w:lang w:val="en-US" w:eastAsia="zh-CN"/>
        </w:rPr>
        <w:t xml:space="preserve">二、 建设内容</w:t>
      </w:r>
      <w:r>
        <w:rPr>
          <w:rFonts w:hint="eastAsia"/>
          <w:lang w:val="en-US" w:eastAsia="zh-CN"/>
        </w:rPr>
        <w:t xml:space="preserve">                                                 </w:t>
      </w:r>
      <w:r>
        <w:rPr>
          <w:rFonts w:hint="eastAsia"/>
          <w:lang w:val="en-US" w:eastAsia="zh-CN"/>
        </w:rPr>
        <w:t xml:space="preserve">                                                                                                                                                                                                                                                                </w:t>
      </w:r>
      <w:r>
        <w:rPr>
          <w:rFonts w:hint="eastAsia"/>
          <w:lang w:val="en-US" w:eastAsia="zh-CN"/>
        </w:rPr>
        <w:t xml:space="preserve">                                                                                                                                                                                                                                                                </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本项目基于</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数据指挥中心的沉淀和技术架构平台，满足医共体管理、病种分析的技术实现，以及解决业务部门在当前数字化转型方面存在的问题和诉求，结合实际的信息系统建设情况与实际的业务需要进行规划与设计。</w:t>
      </w:r>
      <w:r/>
    </w:p>
    <w:p>
      <w:pPr>
        <w:ind w:firstLine="0"/>
        <w:rPr>
          <w:rFonts w:hint="eastAsia"/>
          <w:b/>
          <w:bCs/>
          <w:lang w:val="en-US" w:eastAsia="zh-CN"/>
        </w:rPr>
      </w:pPr>
      <w:r>
        <w:t xml:space="preserve">    </w:t>
      </w:r>
      <w:bookmarkStart w:id="85" w:name="_Toc167121627"/>
      <w:r/>
      <w:bookmarkStart w:id="86" w:name="_Toc164211526"/>
      <w:r/>
      <w:bookmarkStart w:id="87" w:name="_Toc161921065"/>
      <w:r/>
      <w:bookmarkStart w:id="88" w:name="_Toc14394"/>
      <w:r>
        <w:rPr>
          <w:rFonts w:hint="eastAsia"/>
          <w:b/>
          <w:bCs/>
          <w:lang w:val="en-US" w:eastAsia="zh-CN"/>
        </w:rPr>
        <w:t xml:space="preserve">1.项目建设原则</w:t>
      </w:r>
      <w:bookmarkEnd w:id="85"/>
      <w:r/>
      <w:bookmarkEnd w:id="86"/>
      <w:r/>
      <w:bookmarkEnd w:id="87"/>
      <w:r/>
      <w:bookmarkEnd w:id="88"/>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本项目面向</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的数字化转型的规划设计，以经济实用、适用为出发点，按照计划，分层次、分批地实施。为达到这些建设效果，本次项目架构设计需要遵循以下原则。</w:t>
      </w:r>
      <w:r/>
    </w:p>
    <w:p>
      <w:pPr>
        <w:ind w:firstLine="0"/>
        <w:rPr>
          <w:rFonts w:hint="eastAsia"/>
          <w:lang w:val="en-US" w:eastAsia="zh-CN"/>
        </w:rPr>
      </w:pPr>
      <w:r>
        <w:t xml:space="preserve">   </w:t>
      </w:r>
      <w:bookmarkStart w:id="89" w:name="_Toc164211527"/>
      <w:r/>
      <w:bookmarkStart w:id="90" w:name="_Toc167121628"/>
      <w:r/>
      <w:bookmarkStart w:id="91" w:name="_Toc161921066"/>
      <w:r/>
      <w:bookmarkStart w:id="92" w:name="_Toc7329"/>
      <w:r>
        <w:rPr>
          <w:rFonts w:hint="eastAsia"/>
          <w:b/>
          <w:bCs/>
          <w:lang w:val="en-US" w:eastAsia="zh-CN"/>
        </w:rPr>
        <w:t xml:space="preserve">（1）先进性原则</w:t>
      </w:r>
      <w:bookmarkEnd w:id="89"/>
      <w:r/>
      <w:bookmarkEnd w:id="90"/>
      <w:r/>
      <w:bookmarkEnd w:id="91"/>
      <w:r/>
      <w:bookmarkEnd w:id="92"/>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设计项目架构时，应在保证成熟度的基础上采用先进的技术手段和标准化产品，确保整体架构能够满足高性能需求，并具备较强的生命力和长期使用价值。应结合当今技术发展方向和未来趋势，选择适用于医院数字化转型的最佳解决方案，以确保系统在不断变化的环境中保持领先地位并持续满足需求。通过整合成熟的技术与新兴技术，构建具有未来发展潜力的可靠架构，为医院提供稳定、高效的数字化服务和长久的价值回报。</w:t>
      </w:r>
      <w:r/>
    </w:p>
    <w:p>
      <w:pPr>
        <w:ind w:firstLine="0"/>
        <w:rPr>
          <w:rFonts w:hint="eastAsia"/>
          <w:b/>
          <w:bCs/>
          <w:lang w:val="en-US" w:eastAsia="zh-CN"/>
        </w:rPr>
      </w:pPr>
      <w:r>
        <w:t xml:space="preserve">   </w:t>
      </w:r>
      <w:bookmarkStart w:id="93" w:name="_Toc161921067"/>
      <w:r/>
      <w:bookmarkStart w:id="94" w:name="_Toc32610"/>
      <w:r/>
      <w:bookmarkStart w:id="95" w:name="_Toc164211528"/>
      <w:r/>
      <w:bookmarkStart w:id="96" w:name="_Toc167121629"/>
      <w:r>
        <w:rPr>
          <w:rFonts w:hint="eastAsia"/>
          <w:b/>
          <w:bCs/>
          <w:lang w:val="en-US" w:eastAsia="zh-CN"/>
        </w:rPr>
        <w:t xml:space="preserve">（2）高可用性原则</w:t>
      </w:r>
      <w:bookmarkEnd w:id="93"/>
      <w:r/>
      <w:bookmarkEnd w:id="94"/>
      <w:r/>
      <w:bookmarkEnd w:id="95"/>
      <w:r/>
      <w:bookmarkEnd w:id="96"/>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架构设计中应避免单点故障，通过设备冗余和负载均衡等技术手段来提高系统的容错能力，确保即使部分设备发生问题，整体系统依然可以正常运行。此外，系统应该充分考虑医院业务的实际运行需求，结合业务场景定制化设计方案，保证设备具备高实用性。在架构设计中要综合考虑医院各类业务应用的特点，灵活配置设备资源，使设备与业务需求相适应，达到最佳性能表现。通过寻求成熟、稳定的设备，考虑实用性和可靠性，并消除单点故障，医院可以保证数字化转型项目的顺利进行，确保医疗服务的连续性和稳定性，为患者提供高效、可靠的医疗保障。</w:t>
      </w:r>
      <w:r/>
    </w:p>
    <w:p>
      <w:pPr>
        <w:ind w:firstLine="0"/>
        <w:rPr>
          <w:rFonts w:hint="eastAsia"/>
          <w:lang w:val="en-US" w:eastAsia="zh-CN"/>
        </w:rPr>
      </w:pPr>
      <w:r/>
      <w:bookmarkStart w:id="97" w:name="_Toc161921068"/>
      <w:r/>
      <w:bookmarkStart w:id="98" w:name="_Toc167121630"/>
      <w:r/>
      <w:bookmarkStart w:id="99" w:name="_Toc14511"/>
      <w:r/>
      <w:bookmarkStart w:id="100" w:name="_Toc164211529"/>
      <w:r>
        <w:rPr>
          <w:rFonts w:hint="eastAsia"/>
          <w:b/>
          <w:bCs/>
          <w:lang w:val="en-US" w:eastAsia="zh-CN"/>
        </w:rPr>
        <w:t xml:space="preserve">   （3）可扩展性原则</w:t>
      </w:r>
      <w:bookmarkEnd w:id="97"/>
      <w:r/>
      <w:bookmarkEnd w:id="98"/>
      <w:r/>
      <w:bookmarkEnd w:id="99"/>
      <w:r/>
      <w:bookmarkEnd w:id="10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本项目的方案设计过程中，应充分考虑横向与纵向扩展性，以适应未来业务增长并确保系统性能要求。整体架构应当具备弹性，能够通过硬件设备的更新来实现处理能力的线性增长，同时满足高吞吐量和低延迟的性能需求。架构设计应着重考虑系统的高吞吐量和低延迟要求。通过优化数据处理流程、采用高速缓存技术、调整网络架构等手段，确保系统能够在高负载情况下保持稳定的吞吐量，并实现低延迟的数据交互，提升用户体验和系统性能。</w:t>
      </w:r>
      <w:r/>
    </w:p>
    <w:p>
      <w:pPr>
        <w:ind w:firstLine="0"/>
        <w:rPr>
          <w:rFonts w:hint="eastAsia"/>
          <w:lang w:val="en-US" w:eastAsia="zh-CN"/>
        </w:rPr>
      </w:pPr>
      <w:r/>
      <w:bookmarkStart w:id="101" w:name="_Toc29644"/>
      <w:r/>
      <w:bookmarkStart w:id="102" w:name="_Toc167121631"/>
      <w:r/>
      <w:bookmarkStart w:id="103" w:name="_Toc164211530"/>
      <w:r/>
      <w:bookmarkStart w:id="104" w:name="_Toc161921069"/>
      <w:r>
        <w:rPr>
          <w:rFonts w:hint="eastAsia"/>
          <w:b/>
          <w:bCs/>
          <w:lang w:val="en-US" w:eastAsia="zh-CN"/>
        </w:rPr>
        <w:t xml:space="preserve">   （4）安全性原则</w:t>
      </w:r>
      <w:bookmarkEnd w:id="101"/>
      <w:r/>
      <w:bookmarkEnd w:id="102"/>
      <w:r/>
      <w:bookmarkEnd w:id="103"/>
      <w:r/>
      <w:bookmarkEnd w:id="104"/>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实现信息资源的充分共享，信息的保护和隔离，技术上支持多租户资源管理，可通过用户与资源池映射管理不同类型工作负载；系统在各个层次对访问进行控制，设置严格的操作权限，并充分利用日志系统、备份和恢复策略实现安全性；需要提供专业的底层防护工具。以及提供安全审计功能，利用决策引擎进行安全风险判定，覆盖用户异常访问、越权操作、敏感数据违规下载、过度授权等安全审计场景，支持以邮件等多种形式发出告警。系统提供独立的敏感数据规则配置功能，辅助用户精确定位敏感数据泄露问题，同时用户可以设置各种自定义规则来实现个性化的审计需求。</w:t>
      </w:r>
      <w:r/>
    </w:p>
    <w:p>
      <w:pPr>
        <w:ind w:firstLine="0"/>
        <w:rPr>
          <w:rFonts w:hint="eastAsia"/>
          <w:b/>
          <w:bCs/>
          <w:lang w:val="en-US" w:eastAsia="zh-CN"/>
        </w:rPr>
      </w:pPr>
      <w:r>
        <w:t xml:space="preserve">    </w:t>
      </w:r>
      <w:bookmarkStart w:id="105" w:name="_Toc161921070"/>
      <w:r/>
      <w:bookmarkStart w:id="106" w:name="_Toc164211531"/>
      <w:r/>
      <w:bookmarkStart w:id="107" w:name="_Toc167121632"/>
      <w:r/>
      <w:bookmarkStart w:id="108" w:name="_Toc10845"/>
      <w:r>
        <w:rPr>
          <w:rFonts w:hint="eastAsia"/>
          <w:b/>
          <w:bCs/>
          <w:lang w:val="en-US" w:eastAsia="zh-CN"/>
        </w:rPr>
        <w:t xml:space="preserve">2.项目建设思路</w:t>
      </w:r>
      <w:bookmarkEnd w:id="105"/>
      <w:r/>
      <w:bookmarkEnd w:id="106"/>
      <w:r/>
      <w:bookmarkEnd w:id="107"/>
      <w:r/>
      <w:bookmarkEnd w:id="108"/>
      <w:r/>
      <w:r/>
    </w:p>
    <w:p>
      <w:pPr>
        <w:ind w:firstLine="480"/>
        <w:pageBreakBefore w:val="0"/>
        <w:spacing w:line="480" w:lineRule="exact"/>
        <w:rPr>
          <w:rFonts w:hint="eastAsia" w:ascii="宋体" w:hAnsi="宋体" w:eastAsia="宋体" w:cs="宋体"/>
          <w:sz w:val="28"/>
          <w:szCs w:val="28"/>
        </w:rPr>
      </w:pPr>
      <w:r/>
      <w:bookmarkStart w:id="109" w:name="OLE_LINK20"/>
      <w:r>
        <w:rPr>
          <w:rFonts w:hint="eastAsia" w:ascii="宋体" w:hAnsi="宋体" w:eastAsia="宋体" w:cs="宋体"/>
          <w:sz w:val="28"/>
          <w:szCs w:val="28"/>
        </w:rPr>
        <w:t xml:space="preserve">本项目的建设思路，基于现有的数据指挥中心的大数据底座、数据中台、BI架构，深化数据应用、确保数据合规的总体原则，在技术体系、架构设计和数据治理等方面保持连续性和一致性，确保项目建设的高效推进和投资效益的最大化。</w:t>
      </w:r>
      <w:bookmarkEnd w:id="109"/>
      <w:r/>
      <w:r/>
    </w:p>
    <w:p>
      <w:pPr>
        <w:ind w:firstLine="0"/>
        <w:rPr>
          <w:rFonts w:hint="eastAsia"/>
          <w:b/>
          <w:bCs/>
          <w:lang w:val="en-US" w:eastAsia="zh-CN"/>
        </w:rPr>
      </w:pPr>
      <w:r>
        <w:t xml:space="preserve">   </w:t>
      </w:r>
      <w:bookmarkStart w:id="110" w:name="_Toc145313835"/>
      <w:r/>
      <w:bookmarkStart w:id="111" w:name="_Toc132828472"/>
      <w:r/>
      <w:bookmarkStart w:id="112" w:name="_Toc167121635"/>
      <w:r/>
      <w:bookmarkStart w:id="113" w:name="_Toc161921073"/>
      <w:r/>
      <w:bookmarkStart w:id="114" w:name="_Toc14366"/>
      <w:r/>
      <w:bookmarkStart w:id="115" w:name="_Toc164211534"/>
      <w:r>
        <w:rPr>
          <w:rFonts w:hint="eastAsia"/>
          <w:b/>
          <w:bCs/>
          <w:lang w:val="en-US" w:eastAsia="zh-CN"/>
        </w:rPr>
        <w:t xml:space="preserve">（1）统一技术体系思路</w:t>
      </w:r>
      <w:bookmarkEnd w:id="110"/>
      <w:r/>
      <w:bookmarkEnd w:id="111"/>
      <w:r/>
      <w:bookmarkEnd w:id="112"/>
      <w:r/>
      <w:bookmarkEnd w:id="113"/>
      <w:r/>
      <w:bookmarkEnd w:id="114"/>
      <w:r/>
      <w:bookmarkEnd w:id="115"/>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目前医院构建了完整的大数据技术底座，包括数据采集、数据存储、数据处理、数据服务等核心能力模块，形成了统一的技术架构和开发规范。本期项目将严格遵循现有确立的技术体系，确保技术路线的连续性和系统架构的一致性。</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数据采集层面，将延续数据指挥中心的数据接入标准和接口规范，采用统一的数据采集工具和流程，确保新增数据源能够快速、准确地接入数据平台。在数据存储层面，继续使用数据指挥中心的大数据存储体系，实现新增数据与现有数据的统一管理。在数据处理层面，复用</w:t>
      </w:r>
      <w:bookmarkStart w:id="116" w:name="OLE_LINK13"/>
      <w:r>
        <w:rPr>
          <w:rFonts w:hint="eastAsia" w:ascii="宋体" w:hAnsi="宋体" w:eastAsia="宋体" w:cs="宋体"/>
          <w:sz w:val="28"/>
          <w:szCs w:val="28"/>
        </w:rPr>
        <w:t xml:space="preserve">数据指挥中心</w:t>
      </w:r>
      <w:bookmarkEnd w:id="116"/>
      <w:r>
        <w:rPr>
          <w:rFonts w:hint="eastAsia" w:ascii="宋体" w:hAnsi="宋体" w:eastAsia="宋体" w:cs="宋体"/>
          <w:sz w:val="28"/>
          <w:szCs w:val="28"/>
        </w:rPr>
        <w:t xml:space="preserve">数据治理工具和计算任务调度系统，避免重复建设，提高开发效率。在数据服务层面，基于数据指挥中心提供统一的数据接口和服务支撑。</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通过统一技术体系，本项目不仅能够充分复用数据指挥中心投资成果，降低技术风险和建设成本，更能够实现数据资产的高效共享和业务应用的快速迭代，为医院数据应用的持续发展奠定坚实基础。</w:t>
      </w:r>
      <w:r/>
    </w:p>
    <w:p>
      <w:pPr>
        <w:ind w:firstLine="0"/>
        <w:rPr>
          <w:rFonts w:hint="eastAsia"/>
          <w:b/>
          <w:bCs/>
          <w:lang w:val="en-US" w:eastAsia="zh-CN"/>
        </w:rPr>
      </w:pPr>
      <w:r>
        <w:t xml:space="preserve">   </w:t>
      </w:r>
      <w:bookmarkStart w:id="117" w:name="_Toc145313836"/>
      <w:r/>
      <w:bookmarkStart w:id="118" w:name="_Toc164211535"/>
      <w:r/>
      <w:bookmarkStart w:id="119" w:name="_Toc167121636"/>
      <w:r/>
      <w:bookmarkStart w:id="120" w:name="_Toc161921074"/>
      <w:r/>
      <w:bookmarkStart w:id="121" w:name="_Toc32489"/>
      <w:r>
        <w:rPr>
          <w:rFonts w:hint="eastAsia"/>
          <w:b/>
          <w:bCs/>
          <w:lang w:val="en-US" w:eastAsia="zh-CN"/>
        </w:rPr>
        <w:t xml:space="preserve">（2）湖仓集一体设计思路</w:t>
      </w:r>
      <w:bookmarkEnd w:id="117"/>
      <w:r/>
      <w:bookmarkEnd w:id="118"/>
      <w:r/>
      <w:bookmarkEnd w:id="119"/>
      <w:r/>
      <w:bookmarkEnd w:id="120"/>
      <w:r/>
      <w:bookmarkEnd w:id="121"/>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院数据指挥中心已构建了“数据湖+数据仓库”的湖仓一体化架构，这一架构将在本期项目中继续发挥核心作用。数据湖作为原始数据的统一存储池，承载着来自医院各业务系统的多源、异构、海量数据，保留了数据的原始形态，为灵活的数据探索和创新应用提供了可能。数据仓库则基于业务需求构建主题域模型，对数据进行结构化处理和聚合计算，为各类业务应用提供高效、稳定的数据查询和分析能力。</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本期项目中，湖仓一体架构将进一步深化应用。针对医共体管理、病种全景分析两大应用场景，将在数据仓库中构建相应的专题域数据模型，比如医共体运营专题域、病种分析专题域等。这些专题域模型将从数据湖中抽取、清洗、转换数据，形成面向业务的、高质量的数据资产，支撑上层应用的快速开发和高效运行。</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同时，湖仓一体架构还将实现实时数据与历史数据的统一管理。对于需要实时监控的业务场景，通过实时数据流处理技术，将数据从业务系统实时同步到数据湖和数据仓库，确保应用能够获取最新的业务数据。对于需要历史数据分析的场景（如病种趋势分析、指标计算），则通过批量数据处理技术，对数据湖中的海量历史数据进行深度挖掘和分析，为管理决策提供全面的数据支撑。</w:t>
      </w:r>
      <w:r/>
    </w:p>
    <w:p>
      <w:pPr>
        <w:ind w:firstLine="0"/>
        <w:rPr>
          <w:rFonts w:hint="eastAsia"/>
          <w:b/>
          <w:bCs/>
          <w:lang w:val="en-US" w:eastAsia="zh-CN"/>
        </w:rPr>
      </w:pPr>
      <w:r/>
      <w:bookmarkStart w:id="122" w:name="_Toc3347"/>
      <w:r/>
      <w:bookmarkStart w:id="123" w:name="_Toc167121637"/>
      <w:r>
        <w:rPr>
          <w:rFonts w:hint="eastAsia"/>
          <w:b/>
          <w:bCs/>
          <w:lang w:val="en-US" w:eastAsia="zh-CN"/>
        </w:rPr>
        <w:t xml:space="preserve">   （3）数据合规</w:t>
      </w:r>
      <w:bookmarkEnd w:id="122"/>
      <w:r/>
      <w:bookmarkEnd w:id="123"/>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据安全和合规是医疗行业数据应用的生命线。医疗数据涉及患者隐私、医疗秘密等敏感信息，必须严格遵守《中华人民共和国数据安全法》《中华人民共和国个人信息保护法》《中华人民共和国网络安全法》等法律法规，以及国家卫生健康委发布的《医疗卫生机构网络安全管理办法》等行业规范。</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此外，在医共体数据应用场景中，涉及集团与分院之间的数据共享，必须建立明确的数据共享协议和安全机制，确保数据在传输和使用过程中的安全性和合规性。在对外提供数据服务时，严格遵循数据脱敏和去标识化要求，保护患者隐私，防止数据滥用。</w:t>
      </w:r>
      <w:r/>
    </w:p>
    <w:p>
      <w:pPr>
        <w:ind w:firstLine="0"/>
        <w:rPr>
          <w:rFonts w:hint="eastAsia"/>
          <w:b/>
          <w:bCs/>
          <w:lang w:val="en-US" w:eastAsia="zh-CN"/>
        </w:rPr>
      </w:pPr>
      <w:r>
        <w:t xml:space="preserve">    </w:t>
      </w:r>
      <w:bookmarkStart w:id="124" w:name="_Toc161921075"/>
      <w:r/>
      <w:bookmarkStart w:id="125" w:name="_Toc167121638"/>
      <w:r/>
      <w:bookmarkStart w:id="126" w:name="_Toc25320"/>
      <w:r/>
      <w:bookmarkStart w:id="127" w:name="_Toc164211536"/>
      <w:r>
        <w:rPr>
          <w:rFonts w:hint="eastAsia"/>
          <w:b/>
          <w:bCs/>
          <w:lang w:val="en-US" w:eastAsia="zh-CN"/>
        </w:rPr>
        <w:t xml:space="preserve">3.项目总体目标</w:t>
      </w:r>
      <w:bookmarkEnd w:id="124"/>
      <w:r/>
      <w:bookmarkEnd w:id="125"/>
      <w:r/>
      <w:bookmarkEnd w:id="126"/>
      <w:r/>
      <w:bookmarkEnd w:id="127"/>
      <w:r/>
      <w:r/>
    </w:p>
    <w:p>
      <w:pPr>
        <w:ind w:firstLine="480"/>
        <w:pageBreakBefore w:val="0"/>
        <w:spacing w:before="60" w:after="60" w:line="480" w:lineRule="exact"/>
        <w:rPr>
          <w:rFonts w:hint="eastAsia" w:ascii="宋体" w:hAnsi="宋体" w:eastAsia="宋体" w:cs="宋体"/>
          <w:color w:val="333333"/>
          <w:sz w:val="28"/>
          <w:szCs w:val="28"/>
        </w:rPr>
      </w:pPr>
      <w:r/>
      <w:bookmarkStart w:id="128" w:name="OLE_LINK17"/>
      <w:r>
        <w:rPr>
          <w:rFonts w:hint="eastAsia" w:ascii="宋体" w:hAnsi="宋体" w:eastAsia="宋体" w:cs="宋体"/>
          <w:color w:val="333333"/>
          <w:sz w:val="28"/>
          <w:szCs w:val="28"/>
        </w:rPr>
        <w:t xml:space="preserve">项目的总体目标：基于数据指挥中心现有基础平台，聚焦医共体协同管理、病种全景分析两大核心应用场景，全面提升医院在区域医疗协同、临床运营管理方面的数据驱动能力，为医院高质量发展和精细化管理提供强有力的数据支撑。</w:t>
      </w:r>
      <w:r/>
    </w:p>
    <w:p>
      <w:pPr>
        <w:ind w:firstLine="480"/>
        <w:pageBreakBefore w:val="0"/>
        <w:spacing w:before="60" w:after="60"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通过本项目的实施，将实现以下核心目标：</w:t>
      </w:r>
      <w:r/>
    </w:p>
    <w:p>
      <w:pPr>
        <w:numPr>
          <w:ilvl w:val="0"/>
          <w:numId w:val="2"/>
        </w:numPr>
        <w:ind w:left="920" w:hanging="440"/>
        <w:jc w:val="both"/>
        <w:pageBreakBefore w:val="0"/>
        <w:spacing w:before="60" w:after="6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一是医共体管理从业务协同到管理增效的数据决策转变，建设数据驾驶舱，为集团提供医共体整体运营的宏观视野，为分院提供聚焦自身业务的微观视图；</w:t>
      </w:r>
      <w:r/>
    </w:p>
    <w:p>
      <w:pPr>
        <w:numPr>
          <w:ilvl w:val="0"/>
          <w:numId w:val="2"/>
        </w:numPr>
        <w:ind w:left="920" w:hanging="440"/>
        <w:jc w:val="both"/>
        <w:pageBreakBefore w:val="0"/>
        <w:spacing w:before="60" w:after="6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二是科室运营从“经验驱动”向“数据决策”转变，为临床科室提供精准的病种分析和运营数据，助力科室应对收入压力，优化资源配置；</w:t>
      </w:r>
      <w:r/>
    </w:p>
    <w:p>
      <w:pPr>
        <w:numPr>
          <w:ilvl w:val="0"/>
          <w:numId w:val="2"/>
        </w:numPr>
        <w:ind w:left="920" w:hanging="440"/>
        <w:jc w:val="both"/>
        <w:pageBreakBefore w:val="0"/>
        <w:spacing w:before="60" w:after="6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三是构建便捷的移动决策支持应用，将核心运营数据与指标延伸至移动端，为医院管理者提供随时、随地的数据查询与分析服务，提升管理决策的敏捷性与时效性；</w:t>
      </w:r>
      <w:r/>
    </w:p>
    <w:p>
      <w:pPr>
        <w:numPr>
          <w:ilvl w:val="0"/>
          <w:numId w:val="2"/>
        </w:numPr>
        <w:ind w:left="920" w:hanging="440"/>
        <w:jc w:val="both"/>
        <w:pageBreakBefore w:val="0"/>
        <w:spacing w:before="60" w:after="60"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四是充分发挥数据中台的技术能力，为等级医院评审、专科服务能力指标体系建设提供坚实的技术底座，确保能够高效、稳定地开展指标计算和数据应用工作。</w:t>
      </w:r>
      <w:bookmarkEnd w:id="128"/>
      <w:r/>
      <w:r/>
    </w:p>
    <w:p>
      <w:pPr>
        <w:ind w:firstLine="0"/>
        <w:rPr>
          <w:rFonts w:hint="eastAsia"/>
          <w:lang w:val="en-US" w:eastAsia="zh-CN"/>
        </w:rPr>
      </w:pPr>
      <w:r>
        <w:t xml:space="preserve">    </w:t>
      </w:r>
      <w:bookmarkStart w:id="129" w:name="_Toc10397"/>
      <w:r/>
      <w:bookmarkStart w:id="130" w:name="_Toc164211537"/>
      <w:r/>
      <w:bookmarkStart w:id="131" w:name="_Toc167121639"/>
      <w:r/>
      <w:bookmarkStart w:id="132" w:name="_Toc161921076"/>
      <w:r>
        <w:rPr>
          <w:rFonts w:hint="eastAsia"/>
          <w:b/>
          <w:bCs/>
          <w:lang w:val="en-US" w:eastAsia="zh-CN"/>
        </w:rPr>
        <w:t xml:space="preserve">4.项目建设内容</w:t>
      </w:r>
      <w:bookmarkEnd w:id="129"/>
      <w:r/>
      <w:bookmarkEnd w:id="130"/>
      <w:r/>
      <w:bookmarkEnd w:id="131"/>
      <w:r/>
      <w:bookmarkEnd w:id="132"/>
      <w:r/>
      <w:r/>
    </w:p>
    <w:p>
      <w:pPr>
        <w:ind w:firstLine="0"/>
        <w:rPr>
          <w:rFonts w:hint="eastAsia"/>
          <w:b/>
          <w:bCs/>
          <w:lang w:val="en-US" w:eastAsia="zh-CN"/>
        </w:rPr>
      </w:pPr>
      <w:r>
        <w:t xml:space="preserve">   </w:t>
      </w:r>
      <w:bookmarkStart w:id="133" w:name="_Toc26964"/>
      <w:r>
        <w:rPr>
          <w:rFonts w:hint="eastAsia"/>
          <w:b/>
          <w:bCs/>
          <w:lang w:val="en-US" w:eastAsia="zh-CN"/>
        </w:rPr>
        <w:t xml:space="preserve">（1）医共体运营管理驾驶舱</w:t>
      </w:r>
      <w:bookmarkEnd w:id="133"/>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共体运营管理驾驶舱建设是本期项目的核心内容，旨在打破集团医院与分院之间的数据壁垒，构建覆盖金坛区“1+9+N”医共体的数据监控与决策支持体系。通过建设分层级的数据驾驶舱，为集团提供医共体整体运营的宏观视角，为分院提供聚焦自身业务的微观视图。</w:t>
      </w:r>
      <w:r/>
    </w:p>
    <w:p>
      <w:pPr>
        <w:ind w:firstLine="0"/>
        <w:rPr>
          <w:rFonts w:hint="eastAsia"/>
          <w:lang w:val="en-US" w:eastAsia="zh-CN"/>
        </w:rPr>
      </w:pPr>
      <w:r>
        <w:t xml:space="preserve">    </w:t>
      </w:r>
      <w:bookmarkStart w:id="134" w:name="_Toc31579"/>
      <w:r>
        <w:rPr>
          <w:rFonts w:hint="eastAsia"/>
          <w:b/>
          <w:bCs/>
          <w:lang w:val="en-US" w:eastAsia="zh-CN"/>
        </w:rPr>
        <w:t xml:space="preserve">1.1集团管理驾驶舱</w:t>
      </w:r>
      <w:bookmarkEnd w:id="134"/>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集团管理驾驶舱整合医共体内所有成员单位的业务数据，通过可视化技术呈现医共体整体运营状况，为集团管理者提供全局性的决策支持。驾驶舱涵盖慢病健康管理、家庭医生签约管理、日常医疗业务运营、医共体地图可视化四大核心模块。</w:t>
      </w:r>
      <w:r/>
    </w:p>
    <w:p>
      <w:pPr>
        <w:ind w:firstLine="0"/>
        <w:rPr>
          <w:rFonts w:hint="eastAsia"/>
          <w:lang w:val="en-US" w:eastAsia="zh-CN"/>
        </w:rPr>
      </w:pPr>
      <w:r>
        <w:rPr>
          <w:rFonts w:hint="eastAsia"/>
          <w:b/>
          <w:bCs/>
          <w:lang w:val="en-US" w:eastAsia="zh-CN"/>
        </w:rPr>
        <w:t xml:space="preserve">    1.1.1慢病健康管理模块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慢病健康管理是医共体建设的重要任务，也是国家基本公共卫生服务的核心内容。本模块聚焦高血压、糖尿病等重点慢性病的管理情况，为集团管理者提供医共体整体慢病管理的全景视图。</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模块展示慢病登记人数、随访人数、随访次数、规范管理率等核心指标，通过数据卡片的形式清晰呈现当前管理现状。通过趋势图展示本年度患者登记及随访完成情况的月度变化趋势，帮助管理者了解慢病管理工作的推进节奏和阶段性成果。通过人口金字塔图展示慢病患者的年龄性别分布，为精准制定慢病管理策略提供人群画像支撑。通过达标率分析图展示高血压、糖尿病等不同病种的血压控制率、血糖控制率等管理达标情况，识别管理薄弱环节，为持续改进提供方向。</w:t>
      </w:r>
      <w:r/>
    </w:p>
    <w:p>
      <w:pPr>
        <w:ind w:firstLine="0"/>
        <w:rPr>
          <w:rFonts w:hint="eastAsia"/>
          <w:lang w:val="en-US" w:eastAsia="zh-CN"/>
        </w:rPr>
      </w:pPr>
      <w:r>
        <w:rPr>
          <w:rFonts w:hint="eastAsia"/>
          <w:b/>
          <w:bCs/>
          <w:lang w:val="en-US" w:eastAsia="zh-CN"/>
        </w:rPr>
        <w:t xml:space="preserve">    1.1.2家庭医生签约管理模块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家庭医生签约服务是分级诊疗制度的重要基础，也是医共体建设的关键抓手。本模块聚焦家庭医生签约服务的推进情况，为集团管理者提供医共体整体签约工作的监控视图。</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模块展示医共体整体的居民签约人数、居民签约率、重点人群签约情况、特殊人群签约情况等核心指标。通过柱状图展示各分院的签约进度对比，清晰识别签约工作的先进分院和落后分院，为绩效考核和经验推广提供依据。通过趋势图展示签约人数的月度变化情况，监控签约工作的推进节奏。通过分类统计展示老年人、慢性病患者、孕产妇、儿童等重点人群和特殊人群的签约覆盖情况，确保重点人群得到优先保障。</w:t>
      </w:r>
      <w:r/>
    </w:p>
    <w:p>
      <w:pPr>
        <w:ind w:firstLine="0"/>
        <w:rPr>
          <w:rFonts w:hint="eastAsia"/>
          <w:lang w:val="en-US" w:eastAsia="zh-CN"/>
        </w:rPr>
      </w:pPr>
      <w:r>
        <w:rPr>
          <w:rFonts w:hint="eastAsia"/>
          <w:b/>
          <w:bCs/>
          <w:lang w:val="en-US" w:eastAsia="zh-CN"/>
        </w:rPr>
        <w:t xml:space="preserve">    1.1.3日常医疗业务运营模块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日常医疗业务运营是医共体的核心工作，也是衡量医共体运行效能的关键指标。本模块聚焦医共体的医疗服务规模、收入情况、用药管理等核心业务数据，为集团管理者提供医共体整体运营的全景监控。</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服务规模方面，模块展示医共体整体的挂号人次、入院人次、出院人次、检验人次、检查人次等核心指标，通过数据卡片清晰呈现当前服务规模。通过趋势图展示挂号人次的月度变化情况，并与去年同期进行对比分析，帮助管理者了解医疗服务量的增长态势和季节性波动规律。</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收入情况方面，模块展示医共体整体的门诊收入、住院收入等核心指标。通过环形图展示收入结构分析，包括医疗服务收入、药品收入、耗材收入、检查检验收入的占比情况，帮助管理者了解收入构成特点，识别收入增长的主要驱动因素和潜在风险点。</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在用药管理方面，模块展示抗菌药使用强度、日均费用等关键指标，并通过趋势图展示抗菌药使用强度的月度变化情况，与国家和省级标准进行对比，监控医共体整体的合理用药水平，确保符合监管要求。</w:t>
      </w:r>
      <w:r/>
    </w:p>
    <w:p>
      <w:pPr>
        <w:ind w:firstLine="0"/>
        <w:rPr>
          <w:rFonts w:hint="eastAsia"/>
          <w:b/>
          <w:bCs/>
          <w:lang w:val="en-US" w:eastAsia="zh-CN"/>
        </w:rPr>
      </w:pPr>
      <w:r>
        <w:rPr>
          <w:rFonts w:hint="eastAsia"/>
          <w:b/>
          <w:bCs/>
          <w:lang w:val="en-US" w:eastAsia="zh-CN"/>
        </w:rPr>
        <w:t xml:space="preserve">    1.1.4医共体地图可视化</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医共体地图可视化是集团管理驾驶舱的特色功能，将医共体内各成员单位的地理位置和关键业务指标在地图上进行可视化呈现，为集团管理者提供直观的空间分布视图。</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地图展示金坛区医共体集团和各分院的地理位置，通过不同的图标和颜色标识不同类型的医疗机构。在地图上标注各机构的关键指标数据，如门诊量、住院量、床位使用率等，管理者可以通过地图快速了解各机构的运营状况和区域分布特点。地图支持交互式操作，点击地图上的机构图标，可以弹出该机构的详细数据面板，展示更丰富的业务指标和趋势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通过地图可视化，集团管理者能够从空间维度审视医共体的布局合理性和资源配置情况，为优化医疗资源布局、加强薄弱地区建设、推动区域医疗协同提供决策依据。</w:t>
      </w:r>
      <w:r/>
    </w:p>
    <w:p>
      <w:pPr>
        <w:ind w:firstLine="0"/>
        <w:rPr>
          <w:rFonts w:hint="eastAsia"/>
          <w:b/>
          <w:bCs/>
          <w:lang w:val="en-US" w:eastAsia="zh-CN"/>
        </w:rPr>
      </w:pPr>
      <w:r>
        <w:t xml:space="preserve">    </w:t>
      </w:r>
      <w:bookmarkStart w:id="135" w:name="_Toc27568"/>
      <w:r>
        <w:rPr>
          <w:rFonts w:hint="eastAsia"/>
          <w:b/>
          <w:bCs/>
          <w:lang w:val="en-US" w:eastAsia="zh-CN"/>
        </w:rPr>
        <w:t xml:space="preserve">1.2分院运营驾驶舱</w:t>
      </w:r>
      <w:bookmarkEnd w:id="135"/>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分院运营驾驶舱是面向医共体各分院管理者的数据应用工具，聚焦本院业务数据，清晰展示各项指标（如高血压/糖尿病患者规范管理率、管理人群血压/血糖控制率、家医居民签约率、重点人群签约率等）完成进度及与目标的差距，辅助分院管理者及时发现问题、调整策略，优化日常运营。</w:t>
      </w:r>
      <w:r/>
    </w:p>
    <w:p>
      <w:pPr>
        <w:ind w:firstLine="0"/>
        <w:rPr>
          <w:rFonts w:hint="eastAsia"/>
          <w:lang w:val="en-US" w:eastAsia="zh-CN"/>
        </w:rPr>
      </w:pPr>
      <w:r>
        <w:rPr>
          <w:rFonts w:hint="eastAsia"/>
          <w:b/>
          <w:bCs/>
          <w:lang w:val="en-US" w:eastAsia="zh-CN"/>
        </w:rPr>
        <w:t xml:space="preserve">    1.2.1关键指标监控模块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关键指标监控是医共体绩效管理的核心抓手，集团医院每年为各分院设定关键业务指标的考核目标值,涵盖慢病健康管理指标(如高血压/糖尿病患者规范管理率、管理人群血压/血糖控制率等)和家庭医生签约指标(如居民签约率、重点人群签约率等)。本模块为分院管理者提供各项指标完成情况的监控视图。</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模块以分院为维度,展示各分院的关键考核指标及其目标完成进度。通过进度条、仪表盘等可视化组件直观呈现目标达成情况,对于完成率较低的指标,系统自动标红预警,提醒管理者重点关注。模块支持按月度、季度、年度等不同时间维度查看目标完成情况,帮助管理者了解目标推进的节奏和阶段性成果。</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通过本模块,分院管理者能够清晰了解本院的目标完成情况,明确差距和短板,及时调整工作重点和资源配置,确保考核目标的顺利达成。</w:t>
      </w:r>
      <w:r/>
    </w:p>
    <w:p>
      <w:pPr>
        <w:ind w:firstLine="0"/>
        <w:rPr>
          <w:rFonts w:hint="eastAsia"/>
          <w:b/>
          <w:bCs/>
          <w:lang w:val="en-US" w:eastAsia="zh-CN"/>
        </w:rPr>
      </w:pPr>
      <w:r>
        <w:rPr>
          <w:rFonts w:hint="eastAsia"/>
          <w:b/>
          <w:bCs/>
          <w:lang w:val="en-US" w:eastAsia="zh-CN"/>
        </w:rPr>
        <w:t xml:space="preserve">    1.2.2业务运营模块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业务运营模块为分院管理者提供本院核心业务数据的全景视图，包括服务规模、收入情况、用药管理等关键指标。模块的数据展示逻辑与集团管理驾驶舱的日常医疗业务运营模块类似。</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模块展示本院的挂号人次、入院人次、出院人次、检验人次、检查人次等服务规模数据，以及门诊收入、住院收入等收入数据。通过趋势图展示关键指标的月度变化情况，帮助管理者了解业务发展态势。通过结构分析图展示收入构成、费用构成等信息，识别业务特点和优化方向。</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通过业务运营模块，分院管理者能够全面掌握本院的运营现状，为日常管理决策提供数据依据。</w:t>
      </w:r>
      <w:r/>
    </w:p>
    <w:p>
      <w:pPr>
        <w:ind w:firstLine="0"/>
        <w:rPr>
          <w:rFonts w:hint="eastAsia"/>
          <w:lang w:val="en-US" w:eastAsia="zh-CN"/>
        </w:rPr>
      </w:pPr>
      <w:r>
        <w:t xml:space="preserve">   </w:t>
      </w:r>
      <w:bookmarkStart w:id="136" w:name="_Toc32413"/>
      <w:r>
        <w:rPr>
          <w:rFonts w:hint="eastAsia"/>
          <w:b/>
          <w:bCs/>
          <w:lang w:val="en-US" w:eastAsia="zh-CN"/>
        </w:rPr>
        <w:t xml:space="preserve">（2）病种全景分析</w:t>
      </w:r>
      <w:bookmarkEnd w:id="136"/>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病种全景分析建设是面向临床科室的数据赋能应用，旨在为科室管理者提供自助式、多维度的病种分析工具，帮助科室在药品耗材零加成和DRG/DIP支付方式改革的背景下，通过数据洞察优化运营策略，提升收入和成本控制能力，实现从“经验驱动”向“数据决策”的转型。</w:t>
      </w:r>
      <w:r/>
    </w:p>
    <w:p>
      <w:pPr>
        <w:ind w:firstLine="0"/>
        <w:rPr>
          <w:rFonts w:hint="eastAsia"/>
          <w:lang w:val="en-US" w:eastAsia="zh-CN"/>
        </w:rPr>
      </w:pPr>
      <w:r>
        <w:t xml:space="preserve">    </w:t>
      </w:r>
      <w:bookmarkStart w:id="137" w:name="_Toc21635"/>
      <w:r>
        <w:rPr>
          <w:rFonts w:hint="eastAsia"/>
          <w:b/>
          <w:bCs/>
          <w:lang w:val="en-US" w:eastAsia="zh-CN"/>
        </w:rPr>
        <w:t xml:space="preserve">2.1病种概览</w:t>
      </w:r>
      <w:bookmarkEnd w:id="137"/>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病种概览是病种全景分析的入口模块，为科室管理者提供本科室收治病种的整体画像（也支持全院病种画像）。模块以列表形式展示本科室的TOP病种（如TOP10或TOP20），每个病种显示病种名称、出院人数、总费用、平均费用等核心指标。</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柱状图展示各病种的出院人数分布，帮助科室管理者了解本科室的病种构成和收治重点。通过趋势图展示重点病种的出院人数月度变化情况，识别病种收治的季节性规律和增长趋势。模块支持按病种名称、出院人数、费用等多种条件进行排序和筛选，满足管理者的灵活查询需求。</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科室管理者可以从病种概览中快速了解全院或本科室的病种情况构成，识别哪些是主力病种、哪些是潜力病种、哪些是边缘病种，为后续的深度分析和策略制定提供基础。</w:t>
      </w:r>
      <w:r/>
    </w:p>
    <w:p>
      <w:pPr>
        <w:ind w:firstLine="0"/>
        <w:rPr>
          <w:rFonts w:hint="eastAsia"/>
          <w:lang w:val="en-US" w:eastAsia="zh-CN"/>
        </w:rPr>
      </w:pPr>
      <w:r>
        <w:t xml:space="preserve">   </w:t>
      </w:r>
      <w:bookmarkStart w:id="138" w:name="_Toc14206"/>
      <w:r>
        <w:rPr>
          <w:rFonts w:hint="eastAsia"/>
          <w:b/>
          <w:bCs/>
          <w:lang w:val="en-US" w:eastAsia="zh-CN"/>
        </w:rPr>
        <w:t xml:space="preserve">2.2患者基础特征分析</w:t>
      </w:r>
      <w:bookmarkEnd w:id="138"/>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病种基础特性分析聚焦患者群体的人口学特征和基本情况，为科室提供病种的“患者画像”。点击某个病种后，进入该病种的详细分析页面，首先展示的是病种基础特性分析模块。</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2.2.1</w:t>
      </w:r>
      <w:r>
        <w:rPr>
          <w:rFonts w:hint="eastAsia" w:ascii="宋体" w:hAnsi="宋体" w:eastAsia="宋体" w:cs="宋体"/>
          <w:sz w:val="28"/>
          <w:szCs w:val="28"/>
        </w:rPr>
        <w:t xml:space="preserve">性别分布分析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通过饼图展示该病种患者的性别比例。性别分布信息帮助科室了解该病种的性别倾向性，为精准的患者教育和健康宣传提供依据。</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2.2.2</w:t>
      </w:r>
      <w:r>
        <w:rPr>
          <w:rFonts w:hint="eastAsia" w:ascii="宋体" w:hAnsi="宋体" w:eastAsia="宋体" w:cs="宋体"/>
          <w:sz w:val="28"/>
          <w:szCs w:val="28"/>
        </w:rPr>
        <w:t xml:space="preserve">年龄分布分析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通过柱状图或分组统计展示该病种患者的年龄段分布。年龄分布信息帮助科室了解该病种的高发年龄段，为疾病预防和早期干预提供参考。</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2.2.3</w:t>
      </w:r>
      <w:r>
        <w:rPr>
          <w:rFonts w:hint="eastAsia" w:ascii="宋体" w:hAnsi="宋体" w:eastAsia="宋体" w:cs="宋体"/>
          <w:sz w:val="28"/>
          <w:szCs w:val="28"/>
        </w:rPr>
        <w:t xml:space="preserve">医保类型分布分析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通过饼图展示该病种患者的医保类型分布。医保类型分布信息帮助科室了解患者的支付能力和医保政策对该病种的影响，为费用控制提供数据支撑。</w:t>
      </w:r>
      <w:r/>
    </w:p>
    <w:p>
      <w:pPr>
        <w:ind w:firstLine="0"/>
        <w:rPr>
          <w:rFonts w:hint="eastAsia"/>
          <w:b/>
          <w:bCs/>
          <w:lang w:val="en-US" w:eastAsia="zh-CN"/>
        </w:rPr>
      </w:pPr>
      <w:r>
        <w:t xml:space="preserve">    </w:t>
      </w:r>
      <w:bookmarkStart w:id="139" w:name="_Toc28285"/>
      <w:r>
        <w:rPr>
          <w:rFonts w:hint="eastAsia"/>
          <w:b/>
          <w:bCs/>
          <w:lang w:val="en-US" w:eastAsia="zh-CN"/>
        </w:rPr>
        <w:t xml:space="preserve">2.3患者费用特征分析</w:t>
      </w:r>
      <w:bookmarkEnd w:id="139"/>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患者费用特性分析是病种全景分析的核心模块，以病种为核心，分解费用，构聚焦病种的费用情况和经济效益，为科室的成本控制和收入优化提供数据依据。</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2.3.1</w:t>
      </w:r>
      <w:r>
        <w:rPr>
          <w:rFonts w:hint="eastAsia" w:ascii="宋体" w:hAnsi="宋体" w:eastAsia="宋体" w:cs="宋体"/>
          <w:sz w:val="28"/>
          <w:szCs w:val="28"/>
        </w:rPr>
        <w:t xml:space="preserve">均次费用及自付比例分析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展示该病种的平均住院费用、平均自付费用、自付比例等关键指标。通过与其他病种数据对比，并分析费用的变化趋势，评估该病种的费用水平是否合理。</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2.3.2</w:t>
      </w:r>
      <w:r>
        <w:rPr>
          <w:rFonts w:hint="eastAsia" w:ascii="宋体" w:hAnsi="宋体" w:eastAsia="宋体" w:cs="宋体"/>
          <w:sz w:val="28"/>
          <w:szCs w:val="28"/>
        </w:rPr>
        <w:t xml:space="preserve">费用构成分析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饼图展示该病种总费用的构成，清晰呈现药品、耗材、医疗服务、检查检验的金额与占比。管理者可直观了解该病种的费用结构特征，识别其治疗模式是以药物治疗为主、手术耗材为主，还是检查诊断为主。通过与历史数据对比，可发现费用结构的变化趋势或差异，为进一步的费用明细分析和诊疗方案优化提供方向。</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2.3.3</w:t>
      </w:r>
      <w:r>
        <w:rPr>
          <w:rFonts w:hint="eastAsia" w:ascii="宋体" w:hAnsi="宋体" w:eastAsia="宋体" w:cs="宋体"/>
          <w:sz w:val="28"/>
          <w:szCs w:val="28"/>
        </w:rPr>
        <w:t xml:space="preserve">患者住院日分布分析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柱状图或箱线图展示该病种患者的住院天数分布情况，直观展示了患者的分布情况。管理者可以迅速识别出住院周期最集中的主流患者群，从而优化临床路径和资源配置。同时，通过分析住院日过长或过短的“离群”患者，可以深入探究复杂病例或总结高效诊疗经验，以控制成本和提升医疗质量。</w:t>
      </w:r>
      <w:r/>
    </w:p>
    <w:p>
      <w:pPr>
        <w:ind w:firstLine="0"/>
        <w:rPr>
          <w:rFonts w:hint="eastAsia"/>
          <w:b/>
          <w:bCs/>
          <w:lang w:val="en-US" w:eastAsia="zh-CN"/>
        </w:rPr>
      </w:pPr>
      <w:r>
        <w:t xml:space="preserve">    </w:t>
      </w:r>
      <w:bookmarkStart w:id="140" w:name="_Toc16351"/>
      <w:r>
        <w:rPr>
          <w:rFonts w:hint="eastAsia"/>
          <w:b/>
          <w:bCs/>
          <w:lang w:val="en-US" w:eastAsia="zh-CN"/>
        </w:rPr>
        <w:t xml:space="preserve">2.4病种医保结付分析</w:t>
      </w:r>
      <w:bookmarkEnd w:id="14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2.4.1</w:t>
      </w:r>
      <w:r>
        <w:rPr>
          <w:rFonts w:hint="eastAsia" w:ascii="宋体" w:hAnsi="宋体" w:eastAsia="宋体" w:cs="宋体"/>
          <w:sz w:val="28"/>
          <w:szCs w:val="28"/>
        </w:rPr>
        <w:t xml:space="preserve">DRG分组分析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展示该病种在DRG分组中的分布情况，如该病种涉及哪些DRG组、各DRG组的病例数、平均费用、权重等信息。管理者可以迅速定位核心病组，这些是科室的业务主体，应重点关注其诊疗规范、成本和效率。同时，通过分析各病组的构成比例，可以评估科室收治该病种的复杂程度和严重性。例如，如果高权重（通常代表病情更重、付费标准更高）的DRG病组占比较高，说明科室收治的疑难重症患者多。</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2.4.2</w:t>
      </w:r>
      <w:r>
        <w:rPr>
          <w:rFonts w:hint="eastAsia" w:ascii="宋体" w:hAnsi="宋体" w:eastAsia="宋体" w:cs="宋体"/>
          <w:sz w:val="28"/>
          <w:szCs w:val="28"/>
        </w:rPr>
        <w:t xml:space="preserve">盈亏情况分析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这是病种经济特性分析的核心内容，直接反映病种的盈利能力。通过整合DRG结算数据，计算该病种各DRG组的超额盈亏情况，即实际费用与DRG支付标准的差额。通过柱状图展示各DRG组的超额盈亏金额变化趋势，清晰识别哪些DRG组是盈利的、哪些是亏损的。</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对于盈利的DRG组，科室可以总结其诊疗规范、临床路径执行等方面的成功经验，为其他病种提供借鉴。对于亏损的DRG组，科室需要分析亏损的原因，如住院日过长、并发症发生率高、诊疗流程不规范等，并制定针对性的改进措施。</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通过病种经济特性分析，科室管理者能够清晰了解各病种的盈利能力和成本构成，为科室的运营决策提供精准的数据支撑，在DRG/DIP支付方式改革的背景下，找到增收节支的有效路径。</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2.4.3</w:t>
      </w:r>
      <w:r>
        <w:rPr>
          <w:rFonts w:hint="eastAsia" w:ascii="宋体" w:hAnsi="宋体" w:eastAsia="宋体" w:cs="宋体"/>
          <w:sz w:val="28"/>
          <w:szCs w:val="28"/>
        </w:rPr>
        <w:t xml:space="preserve">RW权重与病例数关系分析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散点图展示该病种各DRG组的相对权重（RW）与病例数的关系。横轴为病例数，纵轴为RW权重，每个散点代表一个DRG组。通过散点图，科室可以识别"高权重高病例数"的DRG组，这类DRG组是科室的核心优势，应重点维护和发展；识别"高权重低病例数"的DRG组，这类DRG组具有较高的技术难度和资源消耗，但病例数较少，可以考虑加强技术能力建设，扩大收治规模；识别"低权重高病例数"的DRG组，这类DRG组是科室的基础病种，虽然单个病例的收益较低，但通过规模效应也能带来可观的收入。</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2.4.4</w:t>
      </w:r>
      <w:r>
        <w:rPr>
          <w:rFonts w:hint="eastAsia" w:ascii="宋体" w:hAnsi="宋体" w:eastAsia="宋体" w:cs="宋体"/>
          <w:sz w:val="28"/>
          <w:szCs w:val="28"/>
        </w:rPr>
        <w:t xml:space="preserve">DRG费用结构分析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通过表格形式展示该病种各DRG病组的费用构成与支付情况。表格包含病组名称、病例数、权重、总费用、统筹基金支付、个人支付、自费、DRG结算、综合结付率等关键字段。通过费用清单，科室可以清晰了</w:t>
      </w:r>
      <w:r>
        <w:rPr>
          <w:rFonts w:hint="eastAsia" w:ascii="宋体" w:hAnsi="宋体" w:eastAsia="宋体" w:cs="宋体"/>
          <w:sz w:val="28"/>
          <w:szCs w:val="28"/>
        </w:rPr>
        <w:t xml:space="preserve">解每个DRG病组的收入结构和医保支付情况。通过DRG病组费用清单，科室可以识别"高权重高病例数"的病组，这类病组是科室的核心收入来源，应重点维护和发展；识别"高权重低病例数"的病组，这类病组具有较高的技术难度和资源消耗，但病例数较少，可以考虑加强技术能力建设，扩大收治规模；识别"低权重高病例数"的病组，这类病组是科室的基础病种，虽然单个病例的收益较低，但通过规模效应也能带来可观的收入。同时，通过分析统筹基金支付、个人支付、自费等费用结构，科室可以优化诊疗方案，合理控制自费项目，提升综合结付率，减轻患者负担。</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2.5.5</w:t>
      </w:r>
      <w:r>
        <w:rPr>
          <w:rFonts w:hint="eastAsia" w:ascii="宋体" w:hAnsi="宋体" w:eastAsia="宋体" w:cs="宋体"/>
          <w:sz w:val="28"/>
          <w:szCs w:val="28"/>
        </w:rPr>
        <w:t xml:space="preserve">患者诊疗路径分析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该模块基于【RW权重与病例数关系分析】中的具体病例，以时间轴或流程图的形式，直观展示患者从入院到出院的完整诊疗轨迹。路径上将清晰标注各项关键诊疗事件，如主要诊断、手术/操作、重要检查、核心用药、住院天数以及费用明细等。通过该视图可以追溯异常病例成因，对于“高权重”、“高费用”或“严重亏损”的病例，管理者能够精准追溯是哪个环节（如并发症、特殊用药、住院日延长）导致了资源消耗的增加，为病例复盘提供直接证据。</w:t>
      </w:r>
      <w:r/>
    </w:p>
    <w:p>
      <w:pPr>
        <w:ind w:firstLine="0"/>
        <w:rPr>
          <w:rFonts w:hint="eastAsia"/>
          <w:b/>
          <w:bCs/>
          <w:lang w:val="en-US" w:eastAsia="zh-CN"/>
        </w:rPr>
      </w:pPr>
      <w:r/>
      <w:bookmarkStart w:id="141" w:name="_Toc26119"/>
      <w:r>
        <w:rPr>
          <w:rFonts w:hint="eastAsia"/>
          <w:b/>
          <w:bCs/>
          <w:lang w:val="en-US" w:eastAsia="zh-CN"/>
        </w:rPr>
        <w:t xml:space="preserve">   （3）“掌上院情”移动决策</w:t>
      </w:r>
      <w:bookmarkEnd w:id="141"/>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为满足医院管理者在移动办公、会议、巡查等多元化场景下，对核心运营状态的实时监控与即时决策需求，本项目将建设“掌上院情”移动决策应用。该应用作为数据指挥中心在移动端的延伸，旨在将医院最核心的运营指标通过智能手机、平板电脑等移动设备进行直观、便捷地展现，打破数据访问的时空限制，赋能管理者随时随地洞察医院运行态势。</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“掌上院情”移动决策将聚焦医疗服务、财务收入、合理用药、医疗效率四大核心领域，提供高度浓缩的指标视图与分析功能。</w:t>
      </w:r>
      <w:r/>
    </w:p>
    <w:p>
      <w:pPr>
        <w:ind w:firstLine="0"/>
        <w:rPr>
          <w:rFonts w:hint="eastAsia"/>
          <w:lang w:val="en-US" w:eastAsia="zh-CN"/>
        </w:rPr>
      </w:pPr>
      <w:r/>
      <w:bookmarkStart w:id="142" w:name="_Toc27732"/>
      <w:r>
        <w:rPr>
          <w:rFonts w:hint="eastAsia"/>
          <w:b/>
          <w:bCs/>
          <w:lang w:val="en-US" w:eastAsia="zh-CN"/>
        </w:rPr>
        <w:t xml:space="preserve">    3.1医疗服务态势</w:t>
      </w:r>
      <w:bookmarkEnd w:id="142"/>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医疗服务态势模块是医院日常运营的“晴</w:t>
      </w:r>
      <w:r>
        <w:rPr>
          <w:rFonts w:hint="eastAsia" w:ascii="宋体" w:hAnsi="宋体" w:eastAsia="宋体" w:cs="宋体"/>
          <w:sz w:val="28"/>
          <w:szCs w:val="28"/>
        </w:rPr>
        <w:t xml:space="preserve">雨表”，旨在为管理者提供一个高层次、动态的业务流量全景视图，是实现院内资源科学调配与服务能力敏捷响应的决策基础。该模块将医院最核心的流量型指标以最直观的方式呈现，确保管理者能在第一时间掌握全院的运行脉搏。以醒目的数据卡片形式，呈现门诊人次、急诊人次、入院人次和出院人次这四大核心流量数据，直观反映医院当日的繁忙程度。同时，为了更深入地评估医疗服务的技术内涵与质量水平，模块将专门统计代表高难度、高技术附加值医疗服务的四级手术人次与微创手术人次，使管理者能够快速了解医院在疑难重症救治与微创技术发展方面的最新动态。</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为了实现从“看现状”到“察趋势”的转变，管理者可以切换日、月、年三种时间维度，通过动态的趋势图直观地了解核心服务指标（如门诊人次）的历史变化。图表不仅展示绝对数值的波动，还将自动计算并标注同比增长率，帮助管理者快速识别业务量的季节性、周期性规律，或发现偏离预期的异常增长与下滑。例如，通过观察近一个月的门诊人次趋势，结合去年同期数据，可以判断当前门诊压力是常态波动还是异常事件导致，从而为是否调整号源池或弹性排班提供精准的数据支持。</w:t>
      </w:r>
      <w:r/>
    </w:p>
    <w:p>
      <w:pPr>
        <w:ind w:firstLine="0"/>
        <w:rPr>
          <w:rFonts w:hint="eastAsia"/>
          <w:lang w:val="en-US" w:eastAsia="zh-CN"/>
        </w:rPr>
      </w:pPr>
      <w:r/>
      <w:bookmarkStart w:id="143" w:name="_Toc22540"/>
      <w:r>
        <w:rPr>
          <w:rFonts w:hint="eastAsia"/>
          <w:b/>
          <w:bCs/>
          <w:lang w:val="en-US" w:eastAsia="zh-CN"/>
        </w:rPr>
        <w:t xml:space="preserve">    3.2财务收入总览</w:t>
      </w:r>
      <w:bookmarkEnd w:id="143"/>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财务收入总览模块是医院经济运行状况的核心仪表盘，旨在为管理者提供一个实时、透明、多维的财务健康度快照，确保医院在复杂的医改背景下实现稳健运营与可持续发展。该模块将财务数据从复杂的报表中解放出来，转化为管理者触手可及的决策信息。通过核心指标卡片，展示门急诊总收入与住院总收入的动态累积值，使管理者对两大核心业务板块的营收贡献一目了然。</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为了深入分析收入的构成与趋势，本模块将提供两种核心的可视化分析视图。首先，通</w:t>
      </w:r>
      <w:r>
        <w:rPr>
          <w:rFonts w:hint="eastAsia" w:ascii="宋体" w:hAnsi="宋体" w:eastAsia="宋体" w:cs="宋体"/>
          <w:sz w:val="28"/>
          <w:szCs w:val="28"/>
        </w:rPr>
        <w:t xml:space="preserve">过动态的饼图，管理者可以直观地看到四大分项收入在总收入中的占比，快速判断医院收入结构是否合理、对药品或耗材是否存在过度依赖，为优化收入结构、提升医疗服务技术价值提供决策依据。其次，通过可切换时间维度的趋势图，管理者能够追踪总收入及各分项收入在日、月、年维度下的变化轨迹。例如，管理者可以分析在调整医疗服务价格后，服务收入是否实现了预期增长。这种将“总量监测、结构分析、趋势洞察”融为一体的设计，使管理者更能清晰地洞悉“钱从哪里来”以及“收入结构是否健康”，从而为医院的精细化财务管理与战略性资源投入提供数据支撑。</w:t>
      </w:r>
      <w:r/>
    </w:p>
    <w:p>
      <w:pPr>
        <w:ind w:firstLine="0"/>
        <w:rPr>
          <w:rFonts w:hint="eastAsia"/>
          <w:b/>
          <w:bCs/>
          <w:lang w:val="en-US" w:eastAsia="zh-CN"/>
        </w:rPr>
      </w:pPr>
      <w:r>
        <w:t xml:space="preserve">    </w:t>
      </w:r>
      <w:bookmarkStart w:id="144" w:name="_Toc7734"/>
      <w:r>
        <w:rPr>
          <w:rFonts w:hint="eastAsia"/>
          <w:b/>
          <w:bCs/>
          <w:lang w:val="en-US" w:eastAsia="zh-CN"/>
        </w:rPr>
        <w:t xml:space="preserve">3.3合理用药监控</w:t>
      </w:r>
      <w:bookmarkEnd w:id="144"/>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模块将重点聚焦两个核心的、具有政策指导意义的指标：抗菌药物使用强度（DDDs）和基本药物使用占比。这两个指标将以数据卡片的形式在界面上突出显示，不仅展示当前的最新数值，还将自动与上年同期值进行对比，并计算同比变化率，使管理者能够即时感知用药结构的关键变化，判断其是否符合管理预期。</w:t>
      </w:r>
      <w:r/>
    </w:p>
    <w:p>
      <w:pPr>
        <w:ind w:firstLine="0"/>
        <w:rPr>
          <w:rFonts w:hint="eastAsia"/>
          <w:b/>
          <w:bCs/>
          <w:lang w:val="en-US" w:eastAsia="zh-CN"/>
        </w:rPr>
      </w:pPr>
      <w:r/>
      <w:bookmarkStart w:id="145" w:name="_Toc24630"/>
      <w:r>
        <w:rPr>
          <w:rFonts w:hint="eastAsia"/>
          <w:b/>
          <w:bCs/>
          <w:lang w:val="en-US" w:eastAsia="zh-CN"/>
        </w:rPr>
        <w:t xml:space="preserve">    3.4医疗效率评估</w:t>
      </w:r>
      <w:bookmarkEnd w:id="145"/>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医疗效率评估模块是衡量医院精细化管理水平与资源利用效益的核心工具，旨在将反映医院运行效率的关键指标进行集中呈现与深度分析，帮助管理者在保证医疗质量的前提下，实现成本的最优化与效率的最大化。该模块将重点围绕四个核心效率指标展开：平均住院日、床位使用率、门急诊均次费用和住院均次费用。这些指标将通过简洁的数据卡片实时展示，并附带与既定管理目标值或行业基准值的对比，让管理者对当前效率水平的高低有一个直观的判断。同时，系统会自动计算同比变化，揭示效率指标的改善或恶化趋势。</w:t>
      </w:r>
      <w:r/>
    </w:p>
    <w:p>
      <w:pPr>
        <w:ind w:firstLine="0"/>
        <w:rPr>
          <w:rFonts w:hint="eastAsia"/>
          <w:b/>
          <w:bCs/>
          <w:lang w:val="en-US" w:eastAsia="zh-CN"/>
        </w:rPr>
      </w:pPr>
      <w:r/>
      <w:bookmarkStart w:id="146" w:name="_Toc2929"/>
      <w:r>
        <w:rPr>
          <w:rFonts w:hint="eastAsia"/>
          <w:b/>
          <w:bCs/>
          <w:lang w:val="en-US" w:eastAsia="zh-CN"/>
        </w:rPr>
        <w:t xml:space="preserve">   （4）数据中台支撑：等级医院评审+专科服务能力指标体系</w:t>
      </w:r>
      <w:bookmarkEnd w:id="146"/>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充分利用指挥中心建设的数据中台,发挥其在数据采集、存储、管理、共享方面的核心能力,支撑医共体运营管理驾驶舱和病种全景分析两大应用场景,同时为等级医院评审、专科服务能力指标体系建设等多样化应用提供统一的数据底座支撑。</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4.1</w:t>
      </w:r>
      <w:r>
        <w:rPr>
          <w:rFonts w:hint="eastAsia" w:ascii="宋体" w:hAnsi="宋体" w:eastAsia="宋体" w:cs="宋体"/>
          <w:sz w:val="28"/>
          <w:szCs w:val="28"/>
        </w:rPr>
        <w:t xml:space="preserve">数据采集能力支撑</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提供采集工具：数据中台提供统一的数据采集工具，支持多种数据源的接入方式。</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制定采集规范：建立统一的数据采集规范，包括：数据源接入规范、数据质量规范、数据安全规范。</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4.2</w:t>
      </w:r>
      <w:r>
        <w:rPr>
          <w:rFonts w:hint="eastAsia" w:ascii="宋体" w:hAnsi="宋体" w:eastAsia="宋体" w:cs="宋体"/>
          <w:sz w:val="28"/>
          <w:szCs w:val="28"/>
        </w:rPr>
        <w:t xml:space="preserve">数据存储能力</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数据中台采用湖仓一体架构，具备海量数据的存储能力。数据中台的分布式存储体系能够高效存储和管理这些海量数据，确保数据的完整性和可用性。</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4.3</w:t>
      </w:r>
      <w:r>
        <w:rPr>
          <w:rFonts w:hint="eastAsia" w:ascii="宋体" w:hAnsi="宋体" w:eastAsia="宋体" w:cs="宋体"/>
          <w:sz w:val="28"/>
          <w:szCs w:val="28"/>
        </w:rPr>
        <w:t xml:space="preserve">数据管理能力</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数据治理能力包括元数据管理、数据血缘追踪、数据标准化和数据质量管理，确保数据的一致性、可追溯性，从而提升数据资产的管理效率。</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4.4</w:t>
      </w:r>
      <w:r>
        <w:rPr>
          <w:rFonts w:hint="eastAsia" w:ascii="宋体" w:hAnsi="宋体" w:eastAsia="宋体" w:cs="宋体"/>
          <w:sz w:val="28"/>
          <w:szCs w:val="28"/>
        </w:rPr>
        <w:t xml:space="preserve">数据共享能力</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数据中台提供统一的数据服务管理能力，支持API、JDBC直连、BI访问等多种方式访问数据。</w:t>
      </w:r>
      <w:r/>
    </w:p>
    <w:p>
      <w:pPr>
        <w:ind w:firstLine="0"/>
        <w:rPr>
          <w:rFonts w:hint="eastAsia"/>
          <w:lang w:val="en-US" w:eastAsia="zh-CN"/>
        </w:rPr>
      </w:pPr>
      <w:r>
        <w:t xml:space="preserve">    </w:t>
      </w:r>
      <w:bookmarkStart w:id="147" w:name="_Toc167121695"/>
      <w:r/>
      <w:bookmarkStart w:id="148" w:name="_Toc27130"/>
      <w:r>
        <w:rPr>
          <w:rFonts w:hint="eastAsia"/>
          <w:b/>
          <w:bCs/>
          <w:lang w:val="en-US" w:eastAsia="zh-CN"/>
        </w:rPr>
        <w:t xml:space="preserve">5.安全及权限建设</w:t>
      </w:r>
      <w:bookmarkEnd w:id="147"/>
      <w:r/>
      <w:bookmarkEnd w:id="148"/>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由于本项目利用医院已有的设备网络进行组网，所以不涉及到内网的安全网络建设问题。主要安全为数据平台安全、数据使用安全和权限，要求平台具备监控审计功能。监测与分析敏感数据操作，发现风险并及时告警,基于用户实体行为分析（UEBA）等技术发现用户异常行为与违规敏感操作，通过邮件等方式及时告警，同时提供数据库事件审计与溯源，预置了丰富的审计规则,确保数据操作事后可查。自动化的生成敏感资产操作报告。</w:t>
      </w:r>
      <w:r/>
    </w:p>
    <w:p>
      <w:pPr>
        <w:ind w:firstLine="0"/>
        <w:rPr>
          <w:rFonts w:hint="eastAsia"/>
          <w:lang w:val="en-US" w:eastAsia="zh-CN"/>
        </w:rPr>
      </w:pPr>
      <w:r>
        <w:t xml:space="preserve">   </w:t>
      </w:r>
      <w:bookmarkStart w:id="149" w:name="_Toc20957"/>
      <w:r/>
      <w:bookmarkStart w:id="150" w:name="_Toc167121702"/>
      <w:r/>
      <w:bookmarkStart w:id="151" w:name="_Toc161921103"/>
      <w:r/>
      <w:bookmarkStart w:id="152" w:name="_Toc164211580"/>
      <w:r>
        <w:rPr>
          <w:rFonts w:hint="eastAsia"/>
          <w:b/>
          <w:bCs/>
          <w:lang w:val="en-US" w:eastAsia="zh-CN"/>
        </w:rPr>
        <w:t xml:space="preserve">（1）用户角色权限管理</w:t>
      </w:r>
      <w:bookmarkEnd w:id="149"/>
      <w:r/>
      <w:bookmarkEnd w:id="15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移动端的用户登录与认证：所有试图连接Server的移动设备，都需要申请和登记，系统应记录设备唯一标志，只有符合条件的设备才能够登陆系统。对于用户登录认证，采用主机IP地址（或MAC地址）校验，用户标识+用户口令认证的方式。对于 BI平台组件之间的通信，采用HTTPS技术传输，确保信息传输安全。</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大数据平台上的开发基于4A级统一安全管理解决方案。4A包括认证Authentication、账号Account、授权Authorization、审计Audit，即将身份认证、授权、审计和账号。通过LDAP管理用户账号，Kerberos作为用户身份认证Identity Store，同时大数据平台配合LDAP实现角色访问权限控制（Role Based Access Control），最后所有的安全访问审计都会记录在数据平台的日志中。</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支持多级组织机构的用户、用户组、角色、数据及资源等不同粒度的权限管理，支持二级管理员权限控制，即系统管理员的权限下放，满足多级权限管理。</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权限角色划分：</w:t>
      </w:r>
      <w:r/>
    </w:p>
    <w:p>
      <w:pPr>
        <w:numPr>
          <w:ilvl w:val="0"/>
          <w:numId w:val="3"/>
        </w:numPr>
        <w:ind w:left="920" w:hanging="440"/>
        <w:jc w:val="both"/>
        <w:pageBreakBefore w:val="0"/>
        <w:spacing w:line="48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系统管理员：整个平台的管理员，负责用户的创建与删除，对用户的赋权以及互信配置。</w:t>
      </w:r>
      <w:r/>
    </w:p>
    <w:p>
      <w:pPr>
        <w:numPr>
          <w:ilvl w:val="0"/>
          <w:numId w:val="3"/>
        </w:numPr>
        <w:ind w:left="920" w:hanging="440"/>
        <w:jc w:val="both"/>
        <w:pageBreakBefore w:val="0"/>
        <w:spacing w:line="48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数据管理员：负责数据迁移的用户，对前台用户不可见拥有存储、计算组件的权限，能够proxy具体的用户。</w:t>
      </w:r>
      <w:r/>
    </w:p>
    <w:p>
      <w:pPr>
        <w:numPr>
          <w:ilvl w:val="0"/>
          <w:numId w:val="3"/>
        </w:numPr>
        <w:ind w:left="920" w:hanging="440"/>
        <w:jc w:val="both"/>
        <w:pageBreakBefore w:val="0"/>
        <w:spacing w:line="48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运维人员：平台运维人员，负责平台的创建、运维和管理工作一般为服务或平台提供商的工作人员。</w:t>
      </w:r>
      <w:r/>
    </w:p>
    <w:p>
      <w:pPr>
        <w:numPr>
          <w:ilvl w:val="0"/>
          <w:numId w:val="3"/>
        </w:numPr>
        <w:ind w:left="920" w:hanging="440"/>
        <w:jc w:val="both"/>
        <w:pageBreakBefore w:val="0"/>
        <w:spacing w:line="48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业务人员：管理层、业务科室主任；</w:t>
      </w:r>
      <w:r/>
    </w:p>
    <w:p>
      <w:pPr>
        <w:ind w:firstLine="0"/>
        <w:rPr>
          <w:rFonts w:hint="eastAsia"/>
          <w:lang w:val="en-US" w:eastAsia="zh-CN"/>
        </w:rPr>
      </w:pPr>
      <w:r/>
      <w:bookmarkStart w:id="153" w:name="_Toc167121703"/>
      <w:r/>
      <w:bookmarkStart w:id="154" w:name="_Toc25387"/>
      <w:r>
        <w:rPr>
          <w:rFonts w:hint="eastAsia"/>
          <w:b/>
          <w:bCs/>
          <w:lang w:val="en-US" w:eastAsia="zh-CN"/>
        </w:rPr>
        <w:t xml:space="preserve">   （2）安全审计</w:t>
      </w:r>
      <w:bookmarkEnd w:id="153"/>
      <w:r/>
      <w:bookmarkEnd w:id="154"/>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平台具备监控审计功能。监测与分析敏感数据操作，发现风险并及时告警,基于用户实体行为分析（UEBA）等技术发现用户异常行为与违规敏感操作，通过邮件等方式及时告警，同时提供数据库事件审计与溯源，预置了丰富的审计规则,确保数据操作事后可查。自动化的生成敏感资产操作报告。</w:t>
      </w:r>
      <w:r/>
    </w:p>
    <w:p>
      <w:pPr>
        <w:ind w:firstLine="0"/>
        <w:rPr>
          <w:rFonts w:hint="eastAsia"/>
          <w:b/>
          <w:bCs/>
          <w:lang w:val="en-US" w:eastAsia="zh-CN"/>
        </w:rPr>
      </w:pPr>
      <w:r/>
      <w:bookmarkStart w:id="155" w:name="_Toc6672"/>
      <w:r>
        <w:rPr>
          <w:rFonts w:hint="eastAsia"/>
          <w:b/>
          <w:bCs/>
          <w:lang w:val="en-US" w:eastAsia="zh-CN"/>
        </w:rPr>
        <w:t xml:space="preserve">   （3）网络安全</w:t>
      </w:r>
      <w:bookmarkEnd w:id="155"/>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本项目系统依托一期网络架构建设，平台将“掌上院情”服务对接到院内企业微信，其访问流程遵循严格的安全路径：且采用基于网闸的隔离技术方案。请求首先由医院外网服务器受理，随后通过网闸所建立的安全通道，转发至内网系统完成核心业务处理。此架构在确保符合国家网络安全等级保护三级标准的前提下，致力于构建一个安全、高效的移动管理平台。项目需配合医院完成系统的三级等保测评工作。</w:t>
      </w:r>
      <w:r/>
    </w:p>
    <w:p>
      <w:pPr>
        <w:ind w:firstLine="0"/>
        <w:rPr>
          <w:rFonts w:hint="eastAsia"/>
          <w:lang w:val="en-US" w:eastAsia="zh-CN"/>
        </w:rPr>
      </w:pPr>
      <w:r>
        <w:t xml:space="preserve">    </w:t>
      </w:r>
      <w:bookmarkStart w:id="156" w:name="_Toc9189"/>
      <w:r/>
      <w:bookmarkStart w:id="157" w:name="_Toc167121704"/>
      <w:r>
        <w:rPr>
          <w:rFonts w:hint="eastAsia"/>
          <w:b/>
          <w:bCs/>
          <w:lang w:val="en-US" w:eastAsia="zh-CN"/>
        </w:rPr>
        <w:t xml:space="preserve">6.总体框架</w:t>
      </w:r>
      <w:bookmarkEnd w:id="156"/>
      <w:r/>
      <w:r/>
    </w:p>
    <w:p>
      <w:pPr>
        <w:ind w:firstLine="480"/>
        <w:pageBreakBefore w:val="0"/>
        <w:spacing w:line="480" w:lineRule="exact"/>
        <w:rPr>
          <w:rFonts w:hint="eastAsia" w:ascii="宋体" w:hAnsi="宋体" w:eastAsia="宋体" w:cs="宋体"/>
          <w:color w:val="auto"/>
          <w:sz w:val="28"/>
          <w:szCs w:val="28"/>
        </w:rPr>
      </w:pPr>
      <w:r>
        <w:rPr>
          <w:rFonts w:hint="eastAsia" w:ascii="宋体" w:hAnsi="宋体" w:eastAsia="宋体" w:cs="宋体"/>
          <w:sz w:val="28"/>
          <w:szCs w:val="28"/>
          <w:lang w:val="en-US" w:eastAsia="zh-CN"/>
        </w:rPr>
        <w:t xml:space="preserve">金坛第一人民医院数据指挥中心</w:t>
      </w:r>
      <w:r>
        <w:rPr>
          <w:rFonts w:hint="eastAsia" w:ascii="宋体" w:hAnsi="宋体" w:eastAsia="宋体" w:cs="宋体"/>
          <w:sz w:val="28"/>
          <w:szCs w:val="28"/>
        </w:rPr>
        <w:t xml:space="preserve">架构分四层：贴源层ODS、明细层DWD、汇总层DWS、应用层DM。</w:t>
      </w:r>
      <w:r/>
    </w:p>
    <w:p>
      <w:pPr>
        <w:ind w:firstLine="0"/>
        <w:rPr>
          <w:rFonts w:hint="eastAsia"/>
          <w:b/>
          <w:bCs/>
          <w:lang w:val="en-US" w:eastAsia="zh-CN"/>
        </w:rPr>
      </w:pPr>
      <w:r>
        <w:t xml:space="preserve">   </w:t>
      </w:r>
      <w:bookmarkStart w:id="158" w:name="_Toc28173"/>
      <w:r>
        <w:rPr>
          <w:rFonts w:hint="eastAsia"/>
          <w:b/>
          <w:bCs/>
          <w:lang w:val="en-US" w:eastAsia="zh-CN"/>
        </w:rPr>
        <w:t xml:space="preserve">（1）贴源层-ODS</w:t>
      </w:r>
      <w:bookmarkEnd w:id="158"/>
      <w:r>
        <w:rPr>
          <w:rFonts w:hint="eastAsia"/>
          <w:b/>
          <w:bCs/>
          <w:lang w:val="en-US" w:eastAsia="zh-CN"/>
        </w:rPr>
        <w:t xml:space="preserve"> </w:t>
      </w:r>
      <w:r/>
    </w:p>
    <w:p>
      <w:pPr>
        <w:ind w:firstLine="0"/>
        <w:pageBreakBefore w:val="0"/>
        <w:spacing w:before="0" w:after="0"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ab/>
      </w:r>
      <w:r>
        <w:rPr>
          <w:rFonts w:hint="eastAsia" w:ascii="宋体" w:hAnsi="宋体" w:eastAsia="宋体" w:cs="宋体"/>
          <w:sz w:val="28"/>
          <w:szCs w:val="28"/>
        </w:rPr>
        <w:t xml:space="preserve">贴源层（ODS）作为数据的缓冲和暂存区域，直接接收来自数据采集层的原始数据。此层保留了与源系统完全一致的数据结构和内容，不对数据进行任何清洗或转换。</w:t>
      </w:r>
      <w:r/>
    </w:p>
    <w:p>
      <w:pPr>
        <w:ind w:firstLine="0"/>
        <w:rPr>
          <w:rFonts w:hint="eastAsia"/>
          <w:b/>
          <w:bCs/>
          <w:lang w:val="en-US" w:eastAsia="zh-CN"/>
        </w:rPr>
      </w:pPr>
      <w:r/>
      <w:bookmarkStart w:id="159" w:name="_Toc16142"/>
      <w:r>
        <w:rPr>
          <w:rFonts w:hint="eastAsia"/>
          <w:b/>
          <w:bCs/>
          <w:lang w:val="en-US" w:eastAsia="zh-CN"/>
        </w:rPr>
        <w:t xml:space="preserve">   （2）明细层-DWD</w:t>
      </w:r>
      <w:bookmarkEnd w:id="159"/>
      <w:r>
        <w:rPr>
          <w:rFonts w:hint="eastAsia"/>
          <w:b/>
          <w:bCs/>
          <w:lang w:val="en-US" w:eastAsia="zh-CN"/>
        </w:rPr>
        <w:t xml:space="preserve"> </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整合层是数据中台的核心，负责将贴源层的原始数据进行深度加工和组织。明细区围绕门诊、住院、医共体等核心业务主题，对数据进行清洗、关联和标准化，形成一致性的明细数据。此层为上层应用提供了规范、统一、高质量的数据资产。</w:t>
      </w:r>
      <w:r/>
    </w:p>
    <w:p>
      <w:pPr>
        <w:ind w:firstLine="0"/>
        <w:rPr>
          <w:rFonts w:hint="eastAsia"/>
          <w:b/>
          <w:bCs/>
          <w:lang w:val="en-US" w:eastAsia="zh-CN"/>
        </w:rPr>
      </w:pPr>
      <w:r>
        <w:t xml:space="preserve">   </w:t>
      </w:r>
      <w:bookmarkStart w:id="160" w:name="_Toc19018"/>
      <w:r>
        <w:rPr>
          <w:rFonts w:hint="eastAsia"/>
          <w:b/>
          <w:bCs/>
          <w:lang w:val="en-US" w:eastAsia="zh-CN"/>
        </w:rPr>
        <w:t xml:space="preserve">（3）汇总层-DWS</w:t>
      </w:r>
      <w:bookmarkEnd w:id="160"/>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汇总区则在明细数据基础上，按全院运营、国考指标、科室360等维度进行轻度聚合和计算，形成公共汇总指标。此层为上层应用提供了规范、统一、高质量的数据资产。</w:t>
      </w:r>
      <w:r/>
    </w:p>
    <w:p>
      <w:pPr>
        <w:ind w:firstLine="0"/>
        <w:rPr>
          <w:rFonts w:hint="eastAsia"/>
          <w:lang w:val="en-US" w:eastAsia="zh-CN"/>
        </w:rPr>
      </w:pPr>
      <w:r>
        <w:t xml:space="preserve">   </w:t>
      </w:r>
      <w:bookmarkStart w:id="161" w:name="_Toc18381"/>
      <w:r>
        <w:rPr>
          <w:rFonts w:hint="eastAsia"/>
          <w:b/>
          <w:bCs/>
          <w:lang w:val="en-US" w:eastAsia="zh-CN"/>
        </w:rPr>
        <w:t xml:space="preserve">（4）应用层-DM</w:t>
      </w:r>
      <w:bookmarkEnd w:id="161"/>
      <w:r>
        <w:rPr>
          <w:rFonts w:hint="eastAsia"/>
          <w:lang w:val="en-US" w:eastAsia="zh-CN"/>
        </w:rPr>
        <w:t xml:space="preserve"> </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应用层（ADS）是数据价值的最终体现，直接面向医院管理者、临床医生和运营人员。它基于整合层提供的高质量数据，构建了多样化的数据应用，如数据指挥大屏、数据运营门户、DRGs分组等专题分析以及医共体协同应用等。该层将数据转化为决策支持的洞察，赋能医院在智慧楼宇、精细化运营、临床科研和区域协同等方面实现数据驱动的管理与创新，全面提升医疗服务质量与效率。</w:t>
      </w:r>
      <w:r/>
    </w:p>
    <w:p>
      <w:pPr>
        <w:ind w:firstLine="0"/>
        <w:rPr>
          <w:rFonts w:hint="eastAsia"/>
          <w:b/>
          <w:bCs/>
          <w:lang w:val="en-US" w:eastAsia="zh-CN"/>
        </w:rPr>
      </w:pPr>
      <w:r/>
      <w:bookmarkStart w:id="162" w:name="_Toc25551"/>
      <w:r>
        <w:rPr>
          <w:rFonts w:hint="eastAsia"/>
          <w:b/>
          <w:bCs/>
          <w:lang w:val="en-US" w:eastAsia="zh-CN"/>
        </w:rPr>
        <w:t xml:space="preserve">    7.与其它系统的对接</w:t>
      </w:r>
      <w:bookmarkEnd w:id="151"/>
      <w:r/>
      <w:bookmarkEnd w:id="152"/>
      <w:r/>
      <w:bookmarkEnd w:id="157"/>
      <w:r/>
      <w:bookmarkEnd w:id="162"/>
      <w:r/>
      <w:r/>
    </w:p>
    <w:p>
      <w:pPr>
        <w:ind w:firstLine="0"/>
        <w:rPr>
          <w:rFonts w:hint="eastAsia"/>
          <w:b/>
          <w:bCs/>
          <w:lang w:val="en-US" w:eastAsia="zh-CN"/>
        </w:rPr>
      </w:pPr>
      <w:r/>
      <w:bookmarkStart w:id="163" w:name="_Toc158194612"/>
      <w:r/>
      <w:bookmarkStart w:id="164" w:name="_Toc15254"/>
      <w:r>
        <w:rPr>
          <w:rFonts w:hint="eastAsia"/>
          <w:b/>
          <w:bCs/>
          <w:lang w:val="en-US" w:eastAsia="zh-CN"/>
        </w:rPr>
        <w:t xml:space="preserve">   （1）金坛第一人民医院院内系统数据接入</w:t>
      </w:r>
      <w:bookmarkEnd w:id="163"/>
      <w:r/>
      <w:bookmarkEnd w:id="164"/>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当前数据指挥中心已完成医院内部多个核心业务系统的数据接入，为医院的数据治理和应用分析奠定了良好的数据基础。</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本项目将围绕医共体运营管理驾驶舱和病种全景分析两大核心应用的数据需求,开展院内系统数据接入工作,为项目的顺利实施提供可靠的数据支撑。</w:t>
      </w:r>
      <w:r/>
    </w:p>
    <w:p>
      <w:pPr>
        <w:ind w:firstLine="0"/>
        <w:rPr>
          <w:rFonts w:hint="eastAsia"/>
          <w:b/>
          <w:bCs/>
          <w:lang w:val="en-US" w:eastAsia="zh-CN"/>
        </w:rPr>
      </w:pPr>
      <w:r>
        <w:t xml:space="preserve">   </w:t>
      </w:r>
      <w:bookmarkStart w:id="165" w:name="_Toc13452"/>
      <w:r>
        <w:rPr>
          <w:rFonts w:hint="eastAsia"/>
          <w:b/>
          <w:bCs/>
          <w:lang w:val="en-US" w:eastAsia="zh-CN"/>
        </w:rPr>
        <w:t xml:space="preserve">（2）院外信息系统对接</w:t>
      </w:r>
      <w:bookmarkEnd w:id="165"/>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作为常州市金坛区的医共体牵头医院，在区域医疗数据的整合与应用方面扮演着重要角色。院外信息系统对接是实现医共体协同管理的关键步骤，它涉及到与医共体分院、公共卫生系统等外部机构的互联互通。通过院外系统数据接入，医院能够打破机构边界，实现区域医疗数据的共享和协同，为医共体的一体化管理提供数据基础。</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期项目的院外系统接入主要服务于医共体协同管理应用场景，重点接入医共体分院的业务数据、公共卫生服务数据、家庭医生签约数据等，实现集团对分院运营情况的实时监控和对区域居民健康状况的全面掌握。</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基层医疗信息系统对接</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金坛区医共体的乡镇卫生院和社区卫生服务中心使用由区卫生局统一部署的基层医疗信息系统。该系统作为基层医疗机构的核心业务系统，承载了门诊挂号、诊疗、处方、收费、药房管理等全流程业务数据，是医共体数据整合的重要来源。</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本项目将与区卫生局协同，建立</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数据中台与基层医疗信息系统的数据对接通道。数据对接采用单向传输模式，即区卫生局基层医疗信息系统向</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数据中台提供数据，确保基层医疗机构数据的安全性和可控性。</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基本公共卫生服务信息系统对接</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基本公共卫生服务信息系统是国家基本公共卫生服务项目的信息化支撑平台，记录了居民健康档案、慢性病管理、预防接种、妇幼保健、老年人健康管理等公共卫生服务数据。这些数据对于医共体的慢病管理、健康管理、疾病预防等工作具有重要价值。</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本项目将与卫生局协同，建立</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数据中台与基本公共卫生服务信息系统的数据对接通道，获取区域居民的健康档案和公共卫生服务数据。</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家庭医生签约系统对接</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家庭医生签约服务是医共体建设的重要抓手,其服务成效是衡量医共体工作质量的关键。为实现对签约服务的量化评估与动态监控,本项目将建立与家庭医生签约系统的数据对接通道。</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本项目将与卫生局协同，建立</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数据中台与家庭医生签约系统的数据对接通道，获取区域居民的签约信息。</w:t>
      </w:r>
      <w:r/>
    </w:p>
    <w:p>
      <w:pPr>
        <w:ind w:left="0" w:firstLine="0"/>
        <w:rPr>
          <w:rFonts w:hint="eastAsia"/>
          <w:b/>
          <w:bCs/>
          <w:lang w:val="en-US" w:eastAsia="zh-CN"/>
        </w:rPr>
      </w:pPr>
      <w:r/>
      <w:bookmarkStart w:id="166" w:name="_Toc32192"/>
      <w:r>
        <w:rPr>
          <w:rFonts w:hint="eastAsia" w:ascii="宋体" w:hAnsi="宋体" w:eastAsia="宋体" w:cs="宋体"/>
          <w:sz w:val="28"/>
          <w:szCs w:val="28"/>
        </w:rPr>
        <w:t xml:space="preserve">★</w:t>
      </w:r>
      <w:r>
        <w:rPr>
          <w:rFonts w:hint="eastAsia"/>
          <w:b/>
          <w:bCs/>
          <w:lang w:val="en-US" w:eastAsia="zh-CN"/>
        </w:rPr>
        <w:t xml:space="preserve">三、项目实施规划</w:t>
      </w:r>
      <w:bookmarkEnd w:id="166"/>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针对</w:t>
      </w:r>
      <w:r>
        <w:rPr>
          <w:rFonts w:hint="eastAsia" w:ascii="宋体" w:hAnsi="宋体" w:eastAsia="宋体" w:cs="宋体"/>
          <w:sz w:val="28"/>
          <w:szCs w:val="28"/>
          <w:lang w:eastAsia="zh-CN"/>
        </w:rPr>
        <w:t xml:space="preserve">金坛第一人民医院</w:t>
      </w:r>
      <w:r>
        <w:rPr>
          <w:rFonts w:hint="eastAsia" w:ascii="宋体" w:hAnsi="宋体" w:eastAsia="宋体" w:cs="宋体"/>
          <w:sz w:val="28"/>
          <w:szCs w:val="28"/>
        </w:rPr>
        <w:t xml:space="preserve">的数字化转型的实际需求，考虑到医院的信息化现状和面临的挑战。项目建设将经过全面统筹的顶层设计，形成具有全面指导意义的路线图，从而更好地实现长期规划和发展目标。</w:t>
      </w:r>
      <w:r/>
    </w:p>
    <w:p>
      <w:pPr>
        <w:ind w:firstLine="480"/>
        <w:pageBreakBefore w:val="0"/>
        <w:spacing w:line="480" w:lineRule="exact"/>
        <w:rPr>
          <w:rFonts w:hint="eastAsia" w:ascii="宋体" w:hAnsi="宋体" w:eastAsia="宋体" w:cs="宋体"/>
          <w:sz w:val="28"/>
          <w:szCs w:val="28"/>
        </w:rPr>
      </w:pPr>
      <w:r/>
      <w:bookmarkStart w:id="167" w:name="_Hlk213872204"/>
      <w:r>
        <w:rPr>
          <w:rFonts w:hint="eastAsia" w:ascii="宋体" w:hAnsi="宋体" w:eastAsia="宋体" w:cs="宋体"/>
          <w:sz w:val="28"/>
          <w:szCs w:val="28"/>
        </w:rPr>
        <w:t xml:space="preserve">本项目整体在6个月内交付，试运行和验收3个月内完成。</w:t>
      </w:r>
      <w:bookmarkEnd w:id="167"/>
      <w:r>
        <w:rPr>
          <w:rFonts w:hint="eastAsia" w:ascii="宋体" w:hAnsi="宋体" w:eastAsia="宋体" w:cs="宋体"/>
          <w:sz w:val="28"/>
          <w:szCs w:val="28"/>
        </w:rPr>
        <w:t xml:space="preserve">各阶段的工作并行进行，每个里程碑的工作均有独立的时间评估，由开发实施商根据资源安排投入。</w:t>
      </w:r>
      <w:r/>
    </w:p>
    <w:tbl>
      <w:tblPr>
        <w:tblStyle w:val="1166"/>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700"/>
        <w:gridCol w:w="1701"/>
        <w:gridCol w:w="3260"/>
        <w:gridCol w:w="1371"/>
      </w:tblGrid>
      <w:tr>
        <w:trPr>
          <w:jc w:val="center"/>
          <w:trHeight w:val="308"/>
        </w:trPr>
        <w:tc>
          <w:tcPr>
            <w:tcBorders>
              <w:bottom w:val="none" w:color="000000" w:sz="4" w:space="0"/>
            </w:tcBorders>
            <w:tcW w:w="931" w:type="dxa"/>
            <w:vAlign w:val="center"/>
            <w:textDirection w:val="lrTb"/>
            <w:noWrap w:val="false"/>
          </w:tcPr>
          <w:p>
            <w:pPr>
              <w:ind w:firstLine="33"/>
              <w:pageBreakBefore w:val="0"/>
              <w:spacing w:line="480" w:lineRule="exact"/>
              <w:rPr>
                <w:rFonts w:hint="eastAsia" w:ascii="宋体" w:hAnsi="宋体" w:eastAsia="宋体" w:cs="宋体"/>
                <w:b/>
                <w:bCs/>
                <w:color w:val="000000"/>
                <w:sz w:val="28"/>
                <w:szCs w:val="28"/>
              </w:rPr>
            </w:pPr>
            <w:r>
              <w:rPr>
                <w:rFonts w:hint="eastAsia" w:ascii="宋体" w:hAnsi="宋体" w:eastAsia="宋体" w:cs="宋体"/>
                <w:b w:val="0"/>
                <w:bCs w:val="0"/>
                <w:color w:val="333333"/>
                <w:sz w:val="28"/>
                <w:szCs w:val="28"/>
              </w:rPr>
              <w:t xml:space="preserve">名称</w:t>
            </w:r>
            <w:r/>
          </w:p>
        </w:tc>
        <w:tc>
          <w:tcPr>
            <w:tcBorders>
              <w:bottom w:val="none" w:color="000000" w:sz="4" w:space="0"/>
            </w:tcBorders>
            <w:tcW w:w="1700"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t xml:space="preserve">大项</w:t>
            </w:r>
            <w:r/>
          </w:p>
        </w:tc>
        <w:tc>
          <w:tcPr>
            <w:tcBorders>
              <w:bottom w:val="none" w:color="000000" w:sz="4" w:space="0"/>
            </w:tcBorders>
            <w:tcW w:w="1701" w:type="dxa"/>
            <w:vAlign w:val="center"/>
            <w:textDirection w:val="lrTb"/>
            <w:noWrap w:val="false"/>
          </w:tcPr>
          <w:p>
            <w:pPr>
              <w:ind w:firstLine="39"/>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t xml:space="preserve">任务项</w:t>
            </w:r>
            <w:r/>
          </w:p>
        </w:tc>
        <w:tc>
          <w:tcPr>
            <w:tcBorders>
              <w:bottom w:val="none" w:color="000000" w:sz="4" w:space="0"/>
            </w:tcBorders>
            <w:tcW w:w="3260"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t xml:space="preserve">需求量化参考</w:t>
            </w:r>
            <w:r/>
          </w:p>
        </w:tc>
        <w:tc>
          <w:tcPr>
            <w:tcBorders>
              <w:bottom w:val="none" w:color="000000" w:sz="4" w:space="0"/>
            </w:tcBorders>
            <w:tcW w:w="1371" w:type="dxa"/>
            <w:vAlign w:val="center"/>
            <w:textDirection w:val="lrTb"/>
            <w:noWrap w:val="false"/>
          </w:tcPr>
          <w:p>
            <w:pPr>
              <w:ind w:firstLine="0"/>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t xml:space="preserve">持续周期</w:t>
            </w:r>
            <w:r/>
          </w:p>
        </w:tc>
      </w:tr>
      <w:tr>
        <w:trPr>
          <w:jc w:val="center"/>
          <w:trHeight w:val="308"/>
        </w:trPr>
        <w:tc>
          <w:tcPr>
            <w:tcW w:w="931" w:type="dxa"/>
            <w:vAlign w:val="center"/>
            <w:textDirection w:val="lrTb"/>
            <w:noWrap/>
          </w:tcPr>
          <w:p>
            <w:pPr>
              <w:ind w:firstLine="34"/>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w:t>
            </w:r>
            <w:r/>
          </w:p>
        </w:tc>
        <w:tc>
          <w:tcPr>
            <w:gridSpan w:val="2"/>
            <w:tcW w:w="3401" w:type="dxa"/>
            <w:vAlign w:val="center"/>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项目管理</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项目管理计划、周报、月报、项目管理和调研协调、数据对接协调</w:t>
            </w:r>
            <w:r/>
          </w:p>
        </w:tc>
        <w:tc>
          <w:tcPr>
            <w:tcW w:w="1371"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6个月</w:t>
            </w:r>
            <w:r/>
          </w:p>
        </w:tc>
      </w:tr>
      <w:tr>
        <w:trPr>
          <w:jc w:val="center"/>
          <w:trHeight w:val="308"/>
        </w:trPr>
        <w:tc>
          <w:tcPr>
            <w:tcW w:w="931" w:type="dxa"/>
            <w:vAlign w:val="center"/>
            <w:vMerge w:val="restart"/>
            <w:textDirection w:val="lrTb"/>
            <w:noWrap/>
          </w:tcPr>
          <w:p>
            <w:pPr>
              <w:ind w:firstLine="34"/>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2</w:t>
            </w:r>
            <w:r/>
          </w:p>
        </w:tc>
        <w:tc>
          <w:tcPr>
            <w:tcW w:w="1700"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医共体运营管理驾驶舱</w:t>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调研与需求分析</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需求调研会议纪要、医共体指标清单</w:t>
            </w:r>
            <w:r/>
          </w:p>
        </w:tc>
        <w:tc>
          <w:tcPr>
            <w:tcW w:w="1371" w:type="dxa"/>
            <w:vAlign w:val="center"/>
            <w:vMerge w:val="continue"/>
            <w:textDirection w:val="lrTb"/>
            <w:noWrap/>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8"/>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数据应用规划设计</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驾驶舱原型图</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0"/>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库内ETL脚本</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8"/>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医共体看板、测试报告</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8"/>
        </w:trPr>
        <w:tc>
          <w:tcPr>
            <w:tcW w:w="931" w:type="dxa"/>
            <w:vAlign w:val="center"/>
            <w:vMerge w:val="restart"/>
            <w:textDirection w:val="lrTb"/>
            <w:noWrap w:val="false"/>
          </w:tcPr>
          <w:p>
            <w:pPr>
              <w:ind w:firstLine="34"/>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3</w:t>
            </w:r>
            <w:r/>
          </w:p>
        </w:tc>
        <w:tc>
          <w:tcPr>
            <w:tcW w:w="1700"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病种全景分析</w:t>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调研与需求分析</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科室业务流程调研会议纪要、病种分析指标清单</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8"/>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数据应用规划设计</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病种全景分析原型图</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0"/>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库内ETL脚本</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13"/>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病种全景分析看板、测试报告</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13"/>
        </w:trPr>
        <w:tc>
          <w:tcPr>
            <w:tcW w:w="931" w:type="dxa"/>
            <w:vAlign w:val="center"/>
            <w:vMerge w:val="restart"/>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t xml:space="preserve">4</w:t>
            </w:r>
            <w:r/>
          </w:p>
        </w:tc>
        <w:tc>
          <w:tcPr>
            <w:tcW w:w="1700"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000000"/>
                <w:sz w:val="28"/>
                <w:szCs w:val="28"/>
              </w:rPr>
              <w:t xml:space="preserve">"掌上院情"移动决策</w:t>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调研与需求分析</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需求调研会议纪要、移动决策分析指标清单</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13"/>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数据应用规划设计</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移动决策分析原型图</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13"/>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库内ETL脚本</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13"/>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数据应用开发</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移动决策分析看板、测试报告</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617"/>
        </w:trPr>
        <w:tc>
          <w:tcPr>
            <w:tcW w:w="931" w:type="dxa"/>
            <w:vAlign w:val="center"/>
            <w:vMerge w:val="restart"/>
            <w:textDirection w:val="lrTb"/>
            <w:noWrap w:val="false"/>
          </w:tcPr>
          <w:p>
            <w:pPr>
              <w:ind w:firstLine="34"/>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5</w:t>
            </w:r>
            <w:r/>
          </w:p>
        </w:tc>
        <w:tc>
          <w:tcPr>
            <w:tcW w:w="1700"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数据中心平台支撑（医</w:t>
            </w:r>
            <w:r>
              <w:rPr>
                <w:rFonts w:hint="eastAsia" w:ascii="宋体" w:hAnsi="宋体" w:eastAsia="宋体" w:cs="宋体"/>
                <w:color w:val="333333"/>
                <w:sz w:val="28"/>
                <w:szCs w:val="28"/>
                <w:lang w:val="en-US" w:eastAsia="zh-CN"/>
              </w:rPr>
              <w:t xml:space="preserve">共</w:t>
            </w:r>
            <w:r>
              <w:rPr>
                <w:rFonts w:hint="eastAsia" w:ascii="宋体" w:hAnsi="宋体" w:eastAsia="宋体" w:cs="宋体"/>
                <w:color w:val="333333"/>
                <w:sz w:val="28"/>
                <w:szCs w:val="28"/>
              </w:rPr>
              <w:t xml:space="preserve">体、等级医院评审、专科数据服务能）</w:t>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平台规划与资源分配</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资源分配方案</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308"/>
        </w:trPr>
        <w:tc>
          <w:tcPr>
            <w:tcW w:w="931" w:type="dxa"/>
            <w:vAlign w:val="center"/>
            <w:vMerge w:val="continue"/>
            <w:textDirection w:val="lrTb"/>
            <w:noWrap w:val="false"/>
          </w:tcPr>
          <w:p>
            <w:pPr>
              <w:ind w:firstLine="33"/>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val="0"/>
                <w:bCs w:val="0"/>
                <w:color w:val="333333"/>
                <w:sz w:val="28"/>
                <w:szCs w:val="28"/>
              </w:rPr>
            </w:r>
            <w:r/>
          </w:p>
        </w:tc>
        <w:tc>
          <w:tcPr>
            <w:tcW w:w="1700"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平台监控与优化建议</w:t>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平台监控报告</w:t>
            </w:r>
            <w:r/>
          </w:p>
        </w:tc>
        <w:tc>
          <w:tcPr>
            <w:tcW w:w="1371" w:type="dxa"/>
            <w:vAlign w:val="center"/>
            <w:vMerge w:val="continue"/>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r>
      <w:tr>
        <w:trPr>
          <w:jc w:val="center"/>
          <w:trHeight w:val="544"/>
        </w:trPr>
        <w:tc>
          <w:tcPr>
            <w:tcW w:w="931" w:type="dxa"/>
            <w:vAlign w:val="center"/>
            <w:textDirection w:val="lrTb"/>
            <w:noWrap w:val="false"/>
          </w:tcPr>
          <w:p>
            <w:pPr>
              <w:ind w:firstLine="34"/>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6</w:t>
            </w:r>
            <w:r/>
          </w:p>
        </w:tc>
        <w:tc>
          <w:tcPr>
            <w:tcW w:w="170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试运行、验收</w:t>
            </w:r>
            <w:r/>
          </w:p>
        </w:tc>
        <w:tc>
          <w:tcPr>
            <w:tcW w:w="1701" w:type="dxa"/>
            <w:vAlign w:val="center"/>
            <w:textDirection w:val="lrTb"/>
            <w:noWrap/>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326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tcW w:w="1371"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3个月</w:t>
            </w:r>
            <w:r/>
          </w:p>
        </w:tc>
      </w:tr>
    </w:tbl>
    <w:p>
      <w:pPr>
        <w:ind w:left="0" w:firstLine="0"/>
        <w:rPr>
          <w:rFonts w:hint="eastAsia"/>
          <w:b/>
          <w:bCs/>
          <w:lang w:val="en-US" w:eastAsia="zh-CN"/>
        </w:rPr>
      </w:pPr>
      <w:r/>
      <w:bookmarkStart w:id="168" w:name="_Toc10000"/>
      <w:r>
        <w:rPr>
          <w:rFonts w:hint="eastAsia" w:ascii="宋体" w:hAnsi="宋体" w:eastAsia="宋体" w:cs="宋体"/>
          <w:sz w:val="28"/>
          <w:szCs w:val="28"/>
        </w:rPr>
        <w:t xml:space="preserve">★</w:t>
      </w:r>
      <w:r>
        <w:rPr>
          <w:rFonts w:hint="eastAsia"/>
          <w:b/>
          <w:bCs/>
          <w:lang w:val="en-US" w:eastAsia="zh-CN"/>
        </w:rPr>
        <w:t xml:space="preserve">四、项目</w:t>
      </w:r>
      <w:bookmarkEnd w:id="168"/>
      <w:r>
        <w:rPr>
          <w:rFonts w:hint="eastAsia"/>
          <w:b/>
          <w:bCs/>
          <w:lang w:val="en-US" w:eastAsia="zh-CN"/>
        </w:rPr>
        <w:t xml:space="preserve">建设内容</w:t>
      </w:r>
      <w:r/>
    </w:p>
    <w:p>
      <w:pPr>
        <w:ind w:firstLine="480"/>
        <w:pageBreakBefore w:val="0"/>
        <w:spacing w:line="480" w:lineRule="exact"/>
        <w:rPr>
          <w:rFonts w:hint="eastAsia" w:ascii="宋体" w:hAnsi="宋体" w:eastAsia="宋体" w:cs="宋体"/>
          <w:sz w:val="28"/>
          <w:szCs w:val="28"/>
        </w:rPr>
      </w:pPr>
      <w:r>
        <w:rPr>
          <w:rFonts w:hint="eastAsia" w:ascii="宋体" w:hAnsi="宋体" w:eastAsia="宋体" w:cs="宋体"/>
          <w:sz w:val="28"/>
          <w:szCs w:val="28"/>
        </w:rPr>
        <w:t xml:space="preserve">具体建设内容如下：</w:t>
      </w:r>
      <w:r/>
    </w:p>
    <w:tbl>
      <w:tblPr>
        <w:tblStyle w:val="1166"/>
        <w:tblW w:w="8976" w:type="dxa"/>
        <w:jc w:val="cente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62"/>
        <w:gridCol w:w="1128"/>
        <w:gridCol w:w="1140"/>
        <w:gridCol w:w="5746"/>
      </w:tblGrid>
      <w:tr>
        <w:trPr>
          <w:jc w:val="center"/>
          <w:trHeight w:val="533"/>
        </w:trPr>
        <w:tc>
          <w:tcPr>
            <w:shd w:val="clear" w:color="auto" w:fill="ffffff"/>
            <w:tcBorders>
              <w:bottom w:val="single" w:color="666666" w:sz="12" w:space="0"/>
              <w:insideH w:val="single" w:color="000000" w:sz="12" w:space="0"/>
            </w:tcBorders>
            <w:tcW w:w="962" w:type="dxa"/>
            <w:vAlign w:val="center"/>
            <w:textDirection w:val="lrTb"/>
            <w:noWrap/>
          </w:tcPr>
          <w:p>
            <w:pPr>
              <w:ind w:firstLine="0"/>
              <w:jc w:val="center"/>
              <w:pageBreakBefore w:val="0"/>
              <w:spacing w:line="480" w:lineRule="exact"/>
              <w:rPr>
                <w:rFonts w:hint="eastAsia" w:ascii="宋体" w:hAnsi="宋体" w:eastAsia="宋体" w:cs="宋体"/>
                <w:b/>
                <w:bCs/>
                <w:color w:val="333333"/>
                <w:sz w:val="28"/>
                <w:szCs w:val="28"/>
              </w:rPr>
            </w:pPr>
            <w:r/>
            <w:bookmarkStart w:id="169" w:name="_Hlk213872126"/>
            <w:r>
              <w:rPr>
                <w:rFonts w:hint="eastAsia" w:ascii="宋体" w:hAnsi="宋体" w:eastAsia="宋体" w:cs="宋体"/>
                <w:b/>
                <w:bCs/>
                <w:color w:val="333333"/>
                <w:sz w:val="28"/>
                <w:szCs w:val="28"/>
              </w:rPr>
              <w:t xml:space="preserve">序号</w:t>
            </w:r>
            <w:r/>
          </w:p>
        </w:tc>
        <w:tc>
          <w:tcPr>
            <w:shd w:val="clear" w:color="auto" w:fill="ffffff"/>
            <w:tcBorders>
              <w:bottom w:val="single" w:color="666666" w:sz="12" w:space="0"/>
              <w:insideH w:val="single" w:color="000000" w:sz="12" w:space="0"/>
            </w:tcBorders>
            <w:tcW w:w="1128" w:type="dxa"/>
            <w:vAlign w:val="center"/>
            <w:textDirection w:val="lrTb"/>
            <w:noWrap/>
          </w:tcPr>
          <w:p>
            <w:pPr>
              <w:ind w:left="31" w:firstLine="1"/>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建设模块</w:t>
            </w:r>
            <w:r/>
          </w:p>
        </w:tc>
        <w:tc>
          <w:tcPr>
            <w:shd w:val="clear" w:color="auto" w:fill="ffffff"/>
            <w:tcBorders>
              <w:bottom w:val="single" w:color="666666" w:sz="12" w:space="0"/>
              <w:insideH w:val="single" w:color="000000" w:sz="12" w:space="0"/>
            </w:tcBorders>
            <w:tcW w:w="1140" w:type="dxa"/>
            <w:vAlign w:val="center"/>
            <w:textDirection w:val="lrTb"/>
            <w:noWrap/>
          </w:tcPr>
          <w:p>
            <w:pPr>
              <w:ind w:firstLine="39"/>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二级模块</w:t>
            </w:r>
            <w:r/>
          </w:p>
        </w:tc>
        <w:tc>
          <w:tcPr>
            <w:shd w:val="clear" w:color="auto" w:fill="ffffff"/>
            <w:tcBorders>
              <w:bottom w:val="single" w:color="666666" w:sz="12" w:space="0"/>
              <w:insideH w:val="single" w:color="000000" w:sz="12" w:space="0"/>
            </w:tcBorders>
            <w:tcW w:w="5746" w:type="dxa"/>
            <w:vAlign w:val="center"/>
            <w:textDirection w:val="lrTb"/>
            <w:noWrap/>
          </w:tcPr>
          <w:p>
            <w:pPr>
              <w:ind w:firstLine="31"/>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建设内容</w:t>
            </w:r>
            <w:r/>
          </w:p>
        </w:tc>
      </w:tr>
      <w:tr>
        <w:trPr>
          <w:jc w:val="center"/>
          <w:trHeight w:val="1131"/>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w:t>
            </w:r>
            <w:r/>
          </w:p>
        </w:tc>
        <w:tc>
          <w:tcPr>
            <w:shd w:val="clear" w:color="auto" w:fill="ffffff"/>
            <w:tcW w:w="1128" w:type="dxa"/>
            <w:vAlign w:val="center"/>
            <w:vMerge w:val="restart"/>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医共体运营管理驾驶舱</w:t>
            </w:r>
            <w:r/>
          </w:p>
        </w:tc>
        <w:tc>
          <w:tcPr>
            <w:shd w:val="clear" w:color="auto" w:fill="ffffff"/>
            <w:tcW w:w="1140" w:type="dxa"/>
            <w:vAlign w:val="center"/>
            <w:vMerge w:val="restart"/>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集团管理驾驶舱</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慢病健康管理数据指标开发：包括慢病登记人数、随访人数、随访次数、规范管理率等核心指标。实现医共体整体慢病管理的全景视图。支持按时间、按机构、按病种等多维度的数据钻取和对比分析。</w:t>
            </w:r>
            <w:r/>
          </w:p>
        </w:tc>
      </w:tr>
      <w:tr>
        <w:trPr>
          <w:jc w:val="center"/>
          <w:trHeight w:val="1071"/>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2</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vMerge w:val="continue"/>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家庭医生签约管理数据指标：包括医共体整体的居民签约人数、居民签约率、重点人群签约情况、特殊人群签约情况等核心指标。支持按机构、按人群类型、按签约团队等多维度的数据查询和分析。</w:t>
            </w:r>
            <w:r/>
          </w:p>
        </w:tc>
      </w:tr>
      <w:tr>
        <w:trPr>
          <w:jc w:val="center"/>
          <w:trHeight w:val="184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3</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vMerge w:val="continue"/>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日常医疗业务运营数据指标：医共体整体的挂号人次、入院人次、出院人次、检验人次、检查人次、门诊收入、住院收入等核心指标。提供收入结构分析，包括医疗服务收入、药品收入、耗材收入、检查检验收入的占比情况；以及抗菌药使用强度、日均费用等关键指标。支持按机构、按科室、按时间等多维度的数据钻取和对比分析。</w:t>
            </w:r>
            <w:r/>
          </w:p>
        </w:tc>
      </w:tr>
      <w:tr>
        <w:trPr>
          <w:jc w:val="center"/>
          <w:trHeight w:val="1041"/>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4</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vMerge w:val="restart"/>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分院运营驾驶舱</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关键指标监控开发：包括慢病健康管理指标(如高血压/糖尿病患者规范管理率、管理人群血压/血糖控制率等)和家庭医生签约指标(如居民签约率、重点人群签约率等)，实现目标完成情况的监控视图。支持按月度、季度、年度等不同时间维度查看目标完成情况，对于异常指标自动标红预警。</w:t>
            </w:r>
            <w:r/>
          </w:p>
        </w:tc>
      </w:tr>
      <w:tr>
        <w:trPr>
          <w:jc w:val="center"/>
          <w:trHeight w:val="114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5</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vMerge w:val="continue"/>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业务运营数据指标开发：围绕服务规模、收入情况、用药管理等关键指标开发，包括挂号人次、入院人次、出院人次、检验人次、检查人次等服务规模数据，以及门诊收入、住院收入等收入数据。</w:t>
            </w:r>
            <w:r/>
          </w:p>
        </w:tc>
      </w:tr>
      <w:tr>
        <w:trPr>
          <w:jc w:val="center"/>
          <w:trHeight w:val="841"/>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6</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基础服务</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基础服务：医共体管理驾驶舱BI功能优化、原型图设计、可视化UI设计、医共体地图可视化、数据中台技术支撑服务。将医共体内各成员单位的地理位置和关键业务指标在地图上进行可视化呈现，达到直观的空间分布视图。</w:t>
            </w:r>
            <w:r/>
          </w:p>
        </w:tc>
      </w:tr>
      <w:tr>
        <w:trPr>
          <w:jc w:val="center"/>
          <w:trHeight w:val="1678"/>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7</w:t>
            </w:r>
            <w:r/>
          </w:p>
        </w:tc>
        <w:tc>
          <w:tcPr>
            <w:shd w:val="clear" w:color="auto" w:fill="ffffff"/>
            <w:tcW w:w="1128" w:type="dxa"/>
            <w:vAlign w:val="center"/>
            <w:vMerge w:val="restart"/>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病种全景分析</w:t>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病种全景分析模块</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为主要科室管理者提供本科室收治病种的整体画像，展示本科室的TOP病种（如TOP10或TOP20），以病种维度展示病种名称、出院人数、总费用、平均费用等核心指标数据。</w:t>
            </w:r>
            <w:r/>
          </w:p>
        </w:tc>
      </w:tr>
      <w:tr>
        <w:trPr>
          <w:jc w:val="center"/>
          <w:trHeight w:val="1095"/>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8</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患者基础特征分析</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包括性别分布分析、年龄分布分析、医保类型分布分析等重要指标；</w:t>
            </w:r>
            <w:r/>
          </w:p>
        </w:tc>
      </w:tr>
      <w:tr>
        <w:trPr>
          <w:jc w:val="center"/>
          <w:trHeight w:val="699"/>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9</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患者费用特性分析</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聚焦病种的费用情况和经济效益，包括：</w:t>
            </w:r>
            <w:r>
              <w:rPr>
                <w:rFonts w:hint="eastAsia" w:ascii="宋体" w:hAnsi="宋体" w:eastAsia="宋体" w:cs="宋体"/>
                <w:color w:val="333333"/>
                <w:sz w:val="28"/>
                <w:szCs w:val="28"/>
              </w:rPr>
              <w:br/>
            </w:r>
            <w:r>
              <w:rPr>
                <w:rFonts w:hint="eastAsia" w:ascii="宋体" w:hAnsi="宋体" w:eastAsia="宋体" w:cs="宋体"/>
                <w:color w:val="333333"/>
                <w:sz w:val="28"/>
                <w:szCs w:val="28"/>
              </w:rPr>
              <w:t xml:space="preserve">1）均次费用及自付比例分析：病种的平均住院费用、平均自付费用、自付比例等关键指标；</w:t>
            </w:r>
            <w:r>
              <w:rPr>
                <w:rFonts w:hint="eastAsia" w:ascii="宋体" w:hAnsi="宋体" w:eastAsia="宋体" w:cs="宋体"/>
                <w:color w:val="333333"/>
                <w:sz w:val="28"/>
                <w:szCs w:val="28"/>
              </w:rPr>
              <w:br/>
            </w:r>
            <w:r>
              <w:rPr>
                <w:rFonts w:hint="eastAsia" w:ascii="宋体" w:hAnsi="宋体" w:eastAsia="宋体" w:cs="宋体"/>
                <w:color w:val="333333"/>
                <w:sz w:val="28"/>
                <w:szCs w:val="28"/>
              </w:rPr>
              <w:t xml:space="preserve">2）病种的费用构成，包括药品费、耗材费、检查费、检验检验费等各项费用的金额和占比。</w:t>
            </w:r>
            <w:r>
              <w:rPr>
                <w:rFonts w:hint="eastAsia" w:ascii="宋体" w:hAnsi="宋体" w:eastAsia="宋体" w:cs="宋体"/>
                <w:color w:val="333333"/>
                <w:sz w:val="28"/>
                <w:szCs w:val="28"/>
              </w:rPr>
              <w:br/>
            </w:r>
            <w:r>
              <w:rPr>
                <w:rFonts w:hint="eastAsia" w:ascii="宋体" w:hAnsi="宋体" w:eastAsia="宋体" w:cs="宋体"/>
                <w:color w:val="333333"/>
                <w:sz w:val="28"/>
                <w:szCs w:val="28"/>
              </w:rPr>
              <w:t xml:space="preserve">3）病种患者的住院天数分布情况，包括平均住院日、住院日的分布区间等。</w:t>
            </w:r>
            <w:r/>
          </w:p>
        </w:tc>
      </w:tr>
      <w:tr>
        <w:trPr>
          <w:jc w:val="center"/>
          <w:trHeight w:val="168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10</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主要病种医保结付分析</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1）DRG分组分析：数据展示主要科室病种在DRG分组中的分布情况，如病种涉及的DRG组、各DRG组的病例数、平均费用、权重等信息。</w:t>
            </w:r>
            <w:r>
              <w:rPr>
                <w:rFonts w:hint="eastAsia" w:ascii="宋体" w:hAnsi="宋体" w:eastAsia="宋体" w:cs="宋体"/>
                <w:color w:val="333333"/>
                <w:sz w:val="28"/>
                <w:szCs w:val="28"/>
              </w:rPr>
              <w:br/>
            </w:r>
            <w:r>
              <w:rPr>
                <w:rFonts w:hint="eastAsia" w:ascii="宋体" w:hAnsi="宋体" w:eastAsia="宋体" w:cs="宋体"/>
                <w:color w:val="333333"/>
                <w:sz w:val="28"/>
                <w:szCs w:val="28"/>
              </w:rPr>
              <w:t xml:space="preserve">2）盈亏情况分析：整合DRG结算数据计算病种各DRG组的超额盈亏情况。</w:t>
            </w:r>
            <w:r>
              <w:rPr>
                <w:rFonts w:hint="eastAsia" w:ascii="宋体" w:hAnsi="宋体" w:eastAsia="宋体" w:cs="宋体"/>
                <w:color w:val="333333"/>
                <w:sz w:val="28"/>
                <w:szCs w:val="28"/>
              </w:rPr>
              <w:br/>
            </w:r>
            <w:r>
              <w:rPr>
                <w:rFonts w:hint="eastAsia" w:ascii="宋体" w:hAnsi="宋体" w:eastAsia="宋体" w:cs="宋体"/>
                <w:color w:val="333333"/>
                <w:sz w:val="28"/>
                <w:szCs w:val="28"/>
              </w:rPr>
              <w:t xml:space="preserve">3）RW权重与病例数关系分析：通过数据和可视化展现病种各DRG组的相对权重（RW）与病例数的关系。</w:t>
            </w:r>
            <w:r/>
          </w:p>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4）DRG费用结构分析：通过表格形式展示该病种各DRG病组的费用构成与支付情况。</w:t>
            </w:r>
            <w:r/>
          </w:p>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5）患者诊疗路径分析：以时间轴或流程图的形式，直观展示患者从入院到出院的完整诊疗轨迹。</w:t>
            </w:r>
            <w:r/>
          </w:p>
        </w:tc>
      </w:tr>
      <w:tr>
        <w:trPr>
          <w:jc w:val="center"/>
          <w:trHeight w:val="801"/>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11</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39"/>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基础服务</w:t>
            </w:r>
            <w:r/>
          </w:p>
        </w:tc>
        <w:tc>
          <w:tcPr>
            <w:shd w:val="clear" w:color="auto" w:fill="ffffff"/>
            <w:tcW w:w="5746" w:type="dxa"/>
            <w:vAlign w:val="center"/>
            <w:textDirection w:val="lrTb"/>
            <w:noWrap w:val="false"/>
          </w:tcPr>
          <w:p>
            <w:pPr>
              <w:ind w:firstLine="3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基础服务：病种全景分析模块BI功能优化、原型图设计、可视化UI设计、数据中台技术支撑服务。</w:t>
            </w:r>
            <w:r/>
          </w:p>
        </w:tc>
      </w:tr>
      <w:tr>
        <w:trPr>
          <w:jc w:val="center"/>
          <w:trHeight w:val="557"/>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12</w:t>
            </w:r>
            <w:r/>
          </w:p>
        </w:tc>
        <w:tc>
          <w:tcPr>
            <w:shd w:val="clear" w:color="auto" w:fill="ffffff"/>
            <w:tcW w:w="1128" w:type="dxa"/>
            <w:vAlign w:val="center"/>
            <w:vMerge w:val="restart"/>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"掌上院情"移动决策</w:t>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医疗服务态势</w:t>
            </w:r>
            <w:r/>
          </w:p>
        </w:tc>
        <w:tc>
          <w:tcPr>
            <w:shd w:val="clear" w:color="auto" w:fill="ffffff"/>
            <w:tcW w:w="5746" w:type="dxa"/>
            <w:vAlign w:val="center"/>
            <w:textDirection w:val="lrTb"/>
            <w:noWrap w:val="false"/>
          </w:tcPr>
          <w:p>
            <w:pPr>
              <w:numPr>
                <w:ilvl w:val="0"/>
                <w:numId w:val="4"/>
              </w:numPr>
              <w:ind w:left="28" w:firstLine="0"/>
              <w:jc w:val="both"/>
              <w:pageBreakBefore w:val="0"/>
              <w:spacing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以数据卡片形式，呈现门诊人次、急诊人次、入院人次和出院人次这四大核心流量数据，直观反映医院当日的繁忙程度。</w:t>
            </w:r>
            <w:r/>
          </w:p>
          <w:p>
            <w:pPr>
              <w:numPr>
                <w:ilvl w:val="0"/>
                <w:numId w:val="4"/>
              </w:numPr>
              <w:ind w:left="28" w:hanging="4"/>
              <w:jc w:val="both"/>
              <w:pageBreakBefore w:val="0"/>
              <w:spacing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统计四级手术人次与微创手术人次，使管理者能够快速了解医院在疑难重症救治与微创技术发展方面的最新动态。</w:t>
            </w:r>
            <w:r/>
          </w:p>
        </w:tc>
      </w:tr>
      <w:tr>
        <w:trPr>
          <w:jc w:val="center"/>
          <w:trHeight w:val="121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13</w:t>
            </w:r>
            <w:r/>
          </w:p>
        </w:tc>
        <w:tc>
          <w:tcPr>
            <w:shd w:val="clear" w:color="auto" w:fill="ffffff"/>
            <w:tcW w:w="1128" w:type="dxa"/>
            <w:vAlign w:val="center"/>
            <w:vMerge w:val="continue"/>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财务收入总览</w:t>
            </w:r>
            <w:r/>
          </w:p>
        </w:tc>
        <w:tc>
          <w:tcPr>
            <w:shd w:val="clear" w:color="auto" w:fill="ffffff"/>
            <w:tcW w:w="5746" w:type="dxa"/>
            <w:vAlign w:val="center"/>
            <w:textDirection w:val="lrTb"/>
            <w:noWrap w:val="false"/>
          </w:tcPr>
          <w:p>
            <w:pPr>
              <w:ind w:left="54" w:firstLine="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1）通过核心指标卡片，展示门急诊总收入与住院总收入的动态累积值，使管理者对两大核心业务板块的营收贡献一目了然。</w:t>
            </w:r>
            <w:r/>
          </w:p>
          <w:p>
            <w:pPr>
              <w:ind w:left="54" w:firstLine="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2）通过饼图直观地看到四大分项收入占比，快速判断医院收入结构是否合理、对药品或耗材是否存在过度依赖。</w:t>
            </w:r>
            <w:r/>
          </w:p>
          <w:p>
            <w:pPr>
              <w:ind w:left="54" w:firstLine="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3）切换时间维度的趋势图，追踪总收入及各分项收入在日、月、年维度下的变化轨迹。</w:t>
            </w:r>
            <w:r/>
          </w:p>
        </w:tc>
      </w:tr>
      <w:tr>
        <w:trPr>
          <w:jc w:val="center"/>
          <w:trHeight w:val="121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14</w:t>
            </w:r>
            <w:r/>
          </w:p>
        </w:tc>
        <w:tc>
          <w:tcPr>
            <w:shd w:val="clear" w:color="auto" w:fill="ffffff"/>
            <w:tcW w:w="1128" w:type="dxa"/>
            <w:vAlign w:val="center"/>
            <w:vMerge w:val="continue"/>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合理用药监控</w:t>
            </w:r>
            <w:r/>
          </w:p>
        </w:tc>
        <w:tc>
          <w:tcPr>
            <w:shd w:val="clear" w:color="auto" w:fill="ffffff"/>
            <w:tcW w:w="5746"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1）通过指标卡片展示：抗菌药物使用强度（DDDs）和基本药物使用占比，不仅展示当前的最新数值，还将自动与上年同期值进行对比，并计算同比变化率，使管理者能够即时感知用药结构的关键变化。</w:t>
            </w:r>
            <w:r/>
          </w:p>
        </w:tc>
      </w:tr>
      <w:tr>
        <w:trPr>
          <w:jc w:val="center"/>
          <w:trHeight w:val="121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bCs/>
                <w:color w:val="333333"/>
                <w:sz w:val="28"/>
                <w:szCs w:val="28"/>
              </w:rPr>
            </w:pPr>
            <w:r>
              <w:rPr>
                <w:rFonts w:hint="eastAsia" w:ascii="宋体" w:hAnsi="宋体" w:eastAsia="宋体" w:cs="宋体"/>
                <w:b/>
                <w:bCs/>
                <w:color w:val="333333"/>
                <w:sz w:val="28"/>
                <w:szCs w:val="28"/>
              </w:rPr>
              <w:t xml:space="preserve">15</w:t>
            </w:r>
            <w:r/>
          </w:p>
        </w:tc>
        <w:tc>
          <w:tcPr>
            <w:shd w:val="clear" w:color="auto" w:fill="ffffff"/>
            <w:tcW w:w="1128" w:type="dxa"/>
            <w:vAlign w:val="center"/>
            <w:vMerge w:val="continue"/>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医疗效率评估</w:t>
            </w:r>
            <w:r/>
          </w:p>
        </w:tc>
        <w:tc>
          <w:tcPr>
            <w:shd w:val="clear" w:color="auto" w:fill="ffffff"/>
            <w:tcW w:w="5746" w:type="dxa"/>
            <w:vAlign w:val="center"/>
            <w:textDirection w:val="lrTb"/>
            <w:noWrap w:val="false"/>
          </w:tcPr>
          <w:p>
            <w:pPr>
              <w:ind w:left="54" w:firstLine="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1）围绕四个核心效率指标：平均住院日、床位使用率、门急诊均次费用和住院均次费用。通过简洁的数据卡片展示，让管理者对当前效率水平的高低有一个直观的判断。</w:t>
            </w:r>
            <w:r/>
          </w:p>
        </w:tc>
      </w:tr>
      <w:tr>
        <w:trPr>
          <w:jc w:val="center"/>
          <w:trHeight w:val="1210"/>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16</w:t>
            </w:r>
            <w:r/>
          </w:p>
        </w:tc>
        <w:tc>
          <w:tcPr>
            <w:shd w:val="clear" w:color="auto" w:fill="ffffff"/>
            <w:tcW w:w="1128" w:type="dxa"/>
            <w:vAlign w:val="center"/>
            <w:vMerge w:val="restart"/>
            <w:textDirection w:val="lrTb"/>
            <w:noWrap w:val="false"/>
          </w:tcPr>
          <w:p>
            <w:pPr>
              <w:ind w:left="31"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数据中台支撑：</w:t>
            </w:r>
            <w:bookmarkStart w:id="170" w:name="OLE_LINK7"/>
            <w:r>
              <w:rPr>
                <w:rFonts w:hint="eastAsia" w:ascii="宋体" w:hAnsi="宋体" w:eastAsia="宋体" w:cs="宋体"/>
                <w:color w:val="333333"/>
                <w:sz w:val="28"/>
                <w:szCs w:val="28"/>
              </w:rPr>
              <w:t xml:space="preserve">等级医院评审+专科服务能力指标体系</w:t>
            </w:r>
            <w:bookmarkEnd w:id="170"/>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平台规划与资源分配</w:t>
            </w:r>
            <w:r/>
          </w:p>
        </w:tc>
        <w:tc>
          <w:tcPr>
            <w:shd w:val="clear" w:color="auto" w:fill="ffffff"/>
            <w:tcW w:w="5746" w:type="dxa"/>
            <w:vAlign w:val="center"/>
            <w:textDirection w:val="lrTb"/>
            <w:noWrap w:val="false"/>
          </w:tcPr>
          <w:p>
            <w:pPr>
              <w:numPr>
                <w:ilvl w:val="0"/>
                <w:numId w:val="5"/>
              </w:numPr>
              <w:ind w:left="31" w:firstLine="3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用户权限分配：在数据中台按职责分配对应数据的访问、操作权限</w:t>
            </w:r>
            <w:r/>
          </w:p>
          <w:p>
            <w:pPr>
              <w:numPr>
                <w:ilvl w:val="0"/>
                <w:numId w:val="5"/>
              </w:numPr>
              <w:ind w:left="31" w:firstLine="3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存储空间分配：按数据量估算分配空间</w:t>
            </w:r>
            <w:r/>
          </w:p>
          <w:p>
            <w:pPr>
              <w:numPr>
                <w:ilvl w:val="0"/>
                <w:numId w:val="5"/>
              </w:numPr>
              <w:ind w:left="31" w:firstLine="3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计算资源分配：按任务特性分配计算节点，保障计算性能，避免资源抢占</w:t>
            </w:r>
            <w:r/>
          </w:p>
        </w:tc>
      </w:tr>
      <w:tr>
        <w:trPr>
          <w:jc w:val="center"/>
          <w:trHeight w:val="986"/>
        </w:trPr>
        <w:tc>
          <w:tcPr>
            <w:shd w:val="clear" w:color="auto" w:fill="ffffff"/>
            <w:tcW w:w="962" w:type="dxa"/>
            <w:vAlign w:val="center"/>
            <w:textDirection w:val="lrTb"/>
            <w:noWrap w:val="false"/>
          </w:tcPr>
          <w:p>
            <w:pPr>
              <w:ind w:firstLine="0"/>
              <w:jc w:val="center"/>
              <w:pageBreakBefore w:val="0"/>
              <w:spacing w:line="480" w:lineRule="exact"/>
              <w:rPr>
                <w:rFonts w:hint="eastAsia" w:ascii="宋体" w:hAnsi="宋体" w:eastAsia="宋体" w:cs="宋体"/>
                <w:b w:val="0"/>
                <w:bCs w:val="0"/>
                <w:color w:val="333333"/>
                <w:sz w:val="28"/>
                <w:szCs w:val="28"/>
              </w:rPr>
            </w:pPr>
            <w:r>
              <w:rPr>
                <w:rFonts w:hint="eastAsia" w:ascii="宋体" w:hAnsi="宋体" w:eastAsia="宋体" w:cs="宋体"/>
                <w:b/>
                <w:bCs/>
                <w:color w:val="333333"/>
                <w:sz w:val="28"/>
                <w:szCs w:val="28"/>
              </w:rPr>
              <w:t xml:space="preserve">17</w:t>
            </w:r>
            <w:r/>
          </w:p>
        </w:tc>
        <w:tc>
          <w:tcPr>
            <w:shd w:val="clear" w:color="auto" w:fill="ffffff"/>
            <w:tcW w:w="1128" w:type="dxa"/>
            <w:vAlign w:val="center"/>
            <w:vMerge w:val="continue"/>
            <w:textDirection w:val="lrTb"/>
            <w:noWrap w:val="false"/>
          </w:tcPr>
          <w:p>
            <w:pPr>
              <w:ind w:left="31" w:firstLine="162"/>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r>
            <w:r/>
          </w:p>
        </w:tc>
        <w:tc>
          <w:tcPr>
            <w:shd w:val="clear" w:color="auto" w:fill="ffffff"/>
            <w:tcW w:w="1140" w:type="dxa"/>
            <w:vAlign w:val="center"/>
            <w:textDirection w:val="lrTb"/>
            <w:noWrap w:val="false"/>
          </w:tcPr>
          <w:p>
            <w:pPr>
              <w:ind w:firstLine="0"/>
              <w:pageBreakBefore w:val="0"/>
              <w:spacing w:line="480" w:lineRule="exact"/>
              <w:rPr>
                <w:rFonts w:hint="eastAsia" w:ascii="宋体" w:hAnsi="宋体" w:eastAsia="宋体" w:cs="宋体"/>
                <w:color w:val="333333"/>
                <w:sz w:val="28"/>
                <w:szCs w:val="28"/>
              </w:rPr>
            </w:pPr>
            <w:r>
              <w:rPr>
                <w:rFonts w:hint="eastAsia" w:ascii="宋体" w:hAnsi="宋体" w:eastAsia="宋体" w:cs="宋体"/>
                <w:color w:val="333333"/>
                <w:sz w:val="28"/>
                <w:szCs w:val="28"/>
              </w:rPr>
              <w:t xml:space="preserve">平台监控与优化建议</w:t>
            </w:r>
            <w:r/>
          </w:p>
        </w:tc>
        <w:tc>
          <w:tcPr>
            <w:shd w:val="clear" w:color="auto" w:fill="ffffff"/>
            <w:tcW w:w="5746" w:type="dxa"/>
            <w:vAlign w:val="center"/>
            <w:textDirection w:val="lrTb"/>
            <w:noWrap w:val="false"/>
          </w:tcPr>
          <w:p>
            <w:pPr>
              <w:numPr>
                <w:ilvl w:val="0"/>
                <w:numId w:val="6"/>
              </w:numPr>
              <w:ind w:left="31" w:firstLine="3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平台空间使用情况：监控存储使用率、增长趋势等，超预警阈值时，给出清理冗余数据等优化建议</w:t>
            </w:r>
            <w:r/>
          </w:p>
          <w:p>
            <w:pPr>
              <w:numPr>
                <w:ilvl w:val="0"/>
                <w:numId w:val="6"/>
              </w:numPr>
              <w:ind w:left="31" w:firstLine="30"/>
              <w:jc w:val="both"/>
              <w:pageBreakBefore w:val="0"/>
              <w:spacing w:line="480" w:lineRule="exact"/>
              <w:widowControl w:val="off"/>
              <w:rPr>
                <w:rFonts w:hint="eastAsia" w:ascii="宋体" w:hAnsi="宋体" w:eastAsia="宋体" w:cs="宋体"/>
                <w:color w:val="333333"/>
                <w:sz w:val="28"/>
                <w:szCs w:val="28"/>
                <w:lang w:val="en-US" w:eastAsia="zh-CN" w:bidi="ar-SA"/>
              </w:rPr>
            </w:pPr>
            <w:r>
              <w:rPr>
                <w:rFonts w:hint="eastAsia" w:ascii="宋体" w:hAnsi="宋体" w:eastAsia="宋体" w:cs="宋体"/>
                <w:color w:val="333333"/>
                <w:sz w:val="28"/>
                <w:szCs w:val="28"/>
                <w:lang w:val="en-US" w:eastAsia="zh-CN" w:bidi="ar-SA"/>
              </w:rPr>
              <w:t xml:space="preserve">平台计算资源使用情况监控：监控节点负载、任务效率等，遇瓶颈时，提供优化计算逻辑等建议</w:t>
            </w:r>
            <w:bookmarkEnd w:id="169"/>
            <w:r/>
            <w:r/>
          </w:p>
        </w:tc>
      </w:tr>
    </w:tbl>
    <w:p>
      <w:pPr>
        <w:ind w:left="0" w:firstLine="0"/>
        <w:rPr>
          <w:rFonts w:hint="eastAsia"/>
          <w:b/>
          <w:bCs/>
          <w:lang w:val="en-US" w:eastAsia="en-US"/>
        </w:rPr>
      </w:pPr>
      <w:r/>
      <w:bookmarkStart w:id="171" w:name="_Toc20154"/>
      <w:r>
        <w:rPr>
          <w:rFonts w:hint="eastAsia" w:ascii="宋体" w:hAnsi="宋体" w:eastAsia="宋体" w:cs="宋体"/>
          <w:sz w:val="28"/>
          <w:szCs w:val="28"/>
        </w:rPr>
        <w:t xml:space="preserve">★</w:t>
      </w:r>
      <w:r>
        <w:rPr>
          <w:rFonts w:hint="eastAsia"/>
          <w:b/>
          <w:bCs/>
          <w:lang w:val="en-US" w:eastAsia="zh-CN"/>
        </w:rPr>
        <w:t xml:space="preserve">五、项目服务能力</w:t>
      </w:r>
      <w:bookmarkEnd w:id="171"/>
      <w:r/>
      <w:r/>
    </w:p>
    <w:p>
      <w:pPr>
        <w:ind w:firstLine="0"/>
        <w:rPr>
          <w:rFonts w:hint="eastAsia"/>
          <w:lang w:val="en-US" w:eastAsia="zh-CN"/>
        </w:rPr>
      </w:pPr>
      <w:r/>
      <w:bookmarkStart w:id="172" w:name="_Toc8811"/>
      <w:r>
        <w:rPr>
          <w:rFonts w:hint="eastAsia"/>
          <w:b/>
          <w:bCs/>
          <w:lang w:val="en-US" w:eastAsia="zh-CN"/>
        </w:rPr>
        <w:t xml:space="preserve">    1.提供 7×24 小时的技术支持服务</w:t>
      </w:r>
      <w:bookmarkEnd w:id="172"/>
      <w:r/>
      <w:r/>
    </w:p>
    <w:p>
      <w:pPr>
        <w:ind w:firstLine="480"/>
        <w:pageBreakBefore w:val="0"/>
        <w:spacing w:before="60" w:after="60" w:line="480" w:lineRule="exact"/>
        <w:rPr>
          <w:rFonts w:hint="eastAsia" w:ascii="宋体" w:hAnsi="宋体" w:eastAsia="宋体" w:cs="宋体"/>
          <w:color w:val="333333"/>
          <w:sz w:val="28"/>
          <w:szCs w:val="28"/>
          <w:lang w:val="en-US" w:eastAsia="zh-CN"/>
        </w:rPr>
      </w:pPr>
      <w:r>
        <w:rPr>
          <w:rFonts w:hint="eastAsia" w:ascii="宋体" w:hAnsi="宋体" w:eastAsia="宋体" w:cs="宋体"/>
          <w:color w:val="333333"/>
          <w:sz w:val="28"/>
          <w:szCs w:val="28"/>
          <w:lang w:val="en-US" w:eastAsia="zh-CN"/>
        </w:rPr>
        <w:t xml:space="preserve">建立专业的技术支持团队，团队成员具备丰富的技术经验和问题解决能力。通过电话、邮件、在线客服等多种渠道，及时响应用户的技术咨询和故障报修。对于用户反馈的问题，能够在第一时间进行处理，确保系统的正常运行。对于紧急故障，能够在规定的时间内到达现场进行抢修，最大限度地减少故障对医院业务的影响。</w:t>
      </w:r>
      <w:r/>
    </w:p>
    <w:p>
      <w:pPr>
        <w:ind w:firstLine="0"/>
        <w:rPr>
          <w:rFonts w:hint="eastAsia"/>
          <w:b/>
          <w:bCs/>
          <w:lang w:val="en-US" w:eastAsia="zh-CN"/>
        </w:rPr>
      </w:pPr>
      <w:r>
        <w:t xml:space="preserve">    </w:t>
      </w:r>
      <w:bookmarkStart w:id="173" w:name="_Toc17506"/>
      <w:r>
        <w:rPr>
          <w:rFonts w:hint="eastAsia"/>
          <w:b/>
          <w:bCs/>
          <w:lang w:val="en-US" w:eastAsia="zh-CN"/>
        </w:rPr>
        <w:t xml:space="preserve">2.定期对系统进行升级和优化</w:t>
      </w:r>
      <w:bookmarkEnd w:id="173"/>
      <w:r/>
      <w:r/>
    </w:p>
    <w:p>
      <w:pPr>
        <w:ind w:firstLine="480"/>
        <w:pageBreakBefore w:val="0"/>
        <w:spacing w:before="60" w:after="60" w:line="480" w:lineRule="exact"/>
        <w:rPr>
          <w:rFonts w:hint="eastAsia" w:ascii="宋体" w:hAnsi="宋体" w:eastAsia="宋体" w:cs="宋体"/>
          <w:color w:val="333333"/>
          <w:sz w:val="28"/>
          <w:szCs w:val="28"/>
          <w:lang w:val="en-US" w:eastAsia="zh-CN"/>
        </w:rPr>
      </w:pPr>
      <w:r>
        <w:rPr>
          <w:rFonts w:hint="eastAsia" w:ascii="宋体" w:hAnsi="宋体" w:eastAsia="宋体" w:cs="宋体"/>
          <w:color w:val="333333"/>
          <w:sz w:val="28"/>
          <w:szCs w:val="28"/>
          <w:lang w:val="en-US" w:eastAsia="zh-CN"/>
        </w:rPr>
        <w:t xml:space="preserve">关注行业技术发展动态和用户的反馈意见，定期对系统进行升级和优化。升级内容包括性能提升、安全漏洞修复等方面。通过持续的升级和优化，使系统能够不断适应医疗业务的发展需求，提高用户体验。在系统升级前，制定详细的升级计划，提前通知用户，并进行充分的测试，确保升级过程的顺利进行和系统的稳定性。</w:t>
      </w:r>
      <w:r/>
    </w:p>
    <w:p>
      <w:pPr>
        <w:ind w:firstLine="0"/>
        <w:rPr>
          <w:rFonts w:hint="eastAsia"/>
          <w:lang w:val="en-US" w:eastAsia="zh-CN"/>
        </w:rPr>
      </w:pPr>
      <w:r>
        <w:t xml:space="preserve">    </w:t>
      </w:r>
      <w:bookmarkStart w:id="174" w:name="_Toc4109"/>
      <w:r>
        <w:rPr>
          <w:rFonts w:hint="eastAsia"/>
          <w:b/>
          <w:bCs/>
          <w:lang w:val="en-US" w:eastAsia="zh-CN"/>
        </w:rPr>
        <w:t xml:space="preserve">3.为医护人员和患者提供培训和指导</w:t>
      </w:r>
      <w:bookmarkEnd w:id="174"/>
      <w:r/>
      <w:r/>
    </w:p>
    <w:p>
      <w:pPr>
        <w:ind w:firstLine="480"/>
        <w:pageBreakBefore w:val="0"/>
        <w:spacing w:before="60" w:after="60" w:line="480" w:lineRule="exact"/>
        <w:rPr>
          <w:rFonts w:hint="eastAsia" w:ascii="宋体" w:hAnsi="宋体" w:eastAsia="宋体" w:cs="宋体"/>
          <w:color w:val="333333"/>
          <w:sz w:val="28"/>
          <w:szCs w:val="28"/>
          <w:lang w:val="en-US" w:eastAsia="zh-CN"/>
        </w:rPr>
      </w:pPr>
      <w:r>
        <w:rPr>
          <w:rFonts w:hint="eastAsia" w:ascii="宋体" w:hAnsi="宋体" w:eastAsia="宋体" w:cs="宋体"/>
          <w:color w:val="333333"/>
          <w:sz w:val="28"/>
          <w:szCs w:val="28"/>
          <w:lang w:val="en-US" w:eastAsia="zh-CN"/>
        </w:rPr>
        <w:t xml:space="preserve">为医护人员提供系统操作培训、功能应用培训等，帮助他们熟练掌握系统的各项功能，提高工作效率。培训方式可以采用集中授课、现场演示、在线视频教程等多种形式，满足不同用户的学习需求。同时，在系统使用过程中，为用户提供随时的在线指导和帮助，解答用户的疑问。</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p>
    <w:p>
      <w:pPr>
        <w:pStyle w:val="1104"/>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b/>
          <w:bCs/>
          <w:sz w:val="28"/>
          <w:szCs w:val="28"/>
        </w:rPr>
        <w:t xml:space="preserve">★</w:t>
      </w:r>
      <w:r>
        <w:rPr>
          <w:rFonts w:hint="eastAsia" w:ascii="黑体" w:hAnsi="黑体" w:cs="黑体"/>
          <w:b/>
          <w:bCs/>
          <w:sz w:val="28"/>
          <w:szCs w:val="28"/>
          <w:lang w:val="en-US" w:eastAsia="zh-CN"/>
        </w:rPr>
        <w:t xml:space="preserve">第六节  </w:t>
      </w:r>
      <w:r>
        <w:rPr>
          <w:rFonts w:hint="eastAsia" w:ascii="黑体" w:hAnsi="黑体" w:eastAsia="黑体" w:cs="黑体"/>
          <w:b/>
          <w:bCs/>
          <w:sz w:val="28"/>
          <w:szCs w:val="28"/>
        </w:rPr>
        <w:t xml:space="preserve">商务要求</w:t>
      </w:r>
      <w:r/>
    </w:p>
    <w:p>
      <w:pPr>
        <w:numPr>
          <w:ilvl w:val="1"/>
          <w:numId w:val="7"/>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109"/>
        <w:numPr>
          <w:ilvl w:val="0"/>
          <w:numId w:val="0"/>
        </w:numPr>
        <w:ind w:firstLine="1124"/>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合同签订之日起6个月内完成该系统建设后试运行3个月，试运行期满后若满足验收条件应书面通知采购人进行验收，自采购人通过验收之日起免费维保期1年。</w:t>
      </w:r>
      <w:r/>
    </w:p>
    <w:p>
      <w:pPr>
        <w:pStyle w:val="1110"/>
        <w:ind w:firstLine="1124"/>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常州市金坛区第一人民医院</w:t>
      </w:r>
      <w:r/>
    </w:p>
    <w:p>
      <w:pPr>
        <w:pStyle w:val="1164"/>
        <w:numPr>
          <w:ilvl w:val="1"/>
          <w:numId w:val="7"/>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numPr>
          <w:ilvl w:val="0"/>
          <w:numId w:val="0"/>
        </w:numPr>
        <w:ind w:firstLine="560"/>
        <w:rPr>
          <w:rFonts w:hint="eastAsia" w:ascii="宋体" w:hAnsi="宋体" w:cs="宋体"/>
          <w:b/>
          <w:sz w:val="28"/>
          <w:szCs w:val="28"/>
          <w:lang w:val="en-US" w:eastAsia="zh-CN"/>
        </w:rPr>
      </w:pPr>
      <w:r>
        <w:rPr>
          <w:rFonts w:hint="eastAsia" w:ascii="宋体" w:hAnsi="宋体" w:eastAsia="宋体" w:cs="宋体"/>
          <w:color w:val="ff0000"/>
          <w:sz w:val="28"/>
          <w:szCs w:val="28"/>
          <w:highlight w:val="white"/>
          <w:lang w:val="en-US" w:eastAsia="zh-CN"/>
        </w:rPr>
        <w:t xml:space="preserve">甲方应在乙方实际进场之日起30日内，向乙方支付合同总价的30%作为预付款。乙方在5个月内将该系统建设完成后，试运行3个月，试运行期满后若满足验收条件应书面通知采购人进行验收，甲方应在收到通知后15个工作日内组织验收；验收合格后30个工作日内，甲方向乙方支付合同总价的60%。自通过验收合格之日起，免费维保期满一年后，甲方向乙方支付剩余合同总价的10%。</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left="0" w:right="0" w:firstLine="560"/>
        <w:spacing w:before="0" w:after="0" w:line="42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采购人将参照《江苏省政府采购履约验收管理办法》及《常州市金坛第一人民医院</w:t>
      </w:r>
      <w:r>
        <w:rPr>
          <w:rFonts w:hint="eastAsia" w:ascii="宋体" w:hAnsi="宋体" w:eastAsia="宋体" w:cs="宋体"/>
          <w:color w:val="000000"/>
          <w:sz w:val="28"/>
          <w:lang w:val="en-US" w:eastAsia="zh-CN"/>
        </w:rPr>
        <w:t xml:space="preserve">数据指挥中心二期</w:t>
      </w:r>
      <w:r>
        <w:rPr>
          <w:rFonts w:hint="default" w:ascii="宋体" w:hAnsi="宋体" w:eastAsia="宋体" w:cs="宋体"/>
          <w:color w:val="000000"/>
          <w:sz w:val="28"/>
        </w:rPr>
        <w:t xml:space="preserve">项目考核细则》组织验收考核。</w:t>
      </w:r>
      <w:r/>
    </w:p>
    <w:p>
      <w:pPr>
        <w:ind w:left="0" w:firstLine="0"/>
        <w:jc w:val="center"/>
        <w:rPr>
          <w:rFonts w:hint="eastAsia" w:ascii="宋体" w:hAnsi="宋体" w:eastAsia="宋体" w:cs="宋体"/>
          <w:b/>
          <w:bCs/>
          <w:color w:val="000000"/>
          <w:szCs w:val="28"/>
          <w:lang w:val="en-US" w:eastAsia="zh-CN"/>
        </w:rPr>
      </w:pPr>
      <w:r>
        <w:rPr>
          <w:rFonts w:hint="eastAsia" w:ascii="宋体" w:hAnsi="宋体" w:eastAsia="宋体" w:cs="宋体"/>
          <w:b/>
          <w:bCs/>
          <w:color w:val="000000"/>
          <w:szCs w:val="28"/>
          <w:lang w:val="en-US" w:eastAsia="zh-CN"/>
        </w:rPr>
        <w:t xml:space="preserve">常州市金坛第一人民医院数据指挥中心二期项目</w:t>
      </w:r>
      <w:r/>
    </w:p>
    <w:p>
      <w:pPr>
        <w:ind w:left="0" w:firstLine="0"/>
        <w:jc w:val="center"/>
        <w:rPr>
          <w:rFonts w:hint="eastAsia" w:ascii="宋体" w:hAnsi="宋体" w:eastAsia="宋体" w:cs="宋体"/>
          <w:b/>
          <w:bCs/>
          <w:color w:val="000000"/>
          <w:szCs w:val="28"/>
        </w:rPr>
      </w:pPr>
      <w:r>
        <w:rPr>
          <w:rFonts w:hint="eastAsia" w:ascii="宋体" w:hAnsi="宋体" w:eastAsia="宋体" w:cs="宋体"/>
          <w:b/>
          <w:bCs/>
          <w:color w:val="000000"/>
          <w:szCs w:val="28"/>
          <w:lang w:val="en-US" w:eastAsia="zh-CN"/>
        </w:rPr>
        <w:t xml:space="preserve">考核细则</w:t>
      </w:r>
      <w:r/>
    </w:p>
    <w:tbl>
      <w:tblPr>
        <w:tblStyle w:val="1107"/>
        <w:tblpPr w:horzAnchor="page" w:tblpXSpec="center" w:vertAnchor="text" w:tblpY="401" w:leftFromText="180" w:topFromText="0" w:rightFromText="180" w:bottomFromText="0"/>
        <w:tblW w:w="10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426"/>
        <w:gridCol w:w="870"/>
        <w:gridCol w:w="1424"/>
        <w:gridCol w:w="2446"/>
        <w:gridCol w:w="3299"/>
        <w:gridCol w:w="795"/>
        <w:gridCol w:w="705"/>
      </w:tblGrid>
      <w:tr>
        <w:trPr>
          <w:jc w:val="center"/>
        </w:trPr>
        <w:tc>
          <w:tcPr>
            <w:tcMar>
              <w:left w:w="120" w:type="dxa"/>
              <w:top w:w="60" w:type="dxa"/>
              <w:right w:w="120" w:type="dxa"/>
              <w:bottom w:w="30" w:type="dxa"/>
            </w:tcMar>
            <w:tcW w:w="1426"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评价维度</w:t>
            </w:r>
            <w:r/>
          </w:p>
        </w:tc>
        <w:tc>
          <w:tcPr>
            <w:tcMar>
              <w:left w:w="120" w:type="dxa"/>
              <w:top w:w="60" w:type="dxa"/>
              <w:right w:w="120" w:type="dxa"/>
              <w:bottom w:w="30" w:type="dxa"/>
            </w:tcMar>
            <w:tcW w:w="870"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权重</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评价内容</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评分标准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得分</w:t>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备注</w:t>
            </w:r>
            <w:r/>
          </w:p>
        </w:tc>
      </w:tr>
      <w:tr>
        <w:trPr>
          <w:jc w:val="center"/>
        </w:trPr>
        <w:tc>
          <w:tcPr>
            <w:tcMar>
              <w:left w:w="120" w:type="dxa"/>
              <w:top w:w="60" w:type="dxa"/>
              <w:right w:w="120" w:type="dxa"/>
              <w:bottom w:w="30" w:type="dxa"/>
            </w:tcMar>
            <w:tcW w:w="1426"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功能达标性</w:t>
            </w:r>
            <w:r/>
          </w:p>
        </w:tc>
        <w:tc>
          <w:tcPr>
            <w:tcMar>
              <w:left w:w="120" w:type="dxa"/>
              <w:top w:w="60" w:type="dxa"/>
              <w:right w:w="120" w:type="dxa"/>
              <w:bottom w:w="30" w:type="dxa"/>
            </w:tcMar>
            <w:tcW w:w="870"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30 分</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核心功能实现</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完全满足招标文件第五章 技术要求中所有功能模块，运行稳定得 15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核心功能满足，次要功能存在不影响使用的瑕疵得 10-14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部分核心功能未达标但不影响主要流程得 5-9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多数功能不满足或无法正常运行得 0-4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系统对接完整性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完成与 HIS 系统、PACS系统</w:t>
            </w:r>
            <w:r>
              <w:rPr>
                <w:rFonts w:hint="eastAsia" w:ascii="宋体" w:hAnsi="宋体" w:eastAsia="宋体" w:cs="Arial"/>
                <w:sz w:val="22"/>
                <w:szCs w:val="22"/>
                <w:lang w:val="en-US" w:eastAsia="zh-CN" w:bidi="ar-SA"/>
              </w:rPr>
              <w:t xml:space="preserve">、LIS、EMR、手术麻醉系统</w:t>
            </w:r>
            <w:r>
              <w:rPr>
                <w:rFonts w:hint="default" w:ascii="宋体" w:hAnsi="宋体" w:eastAsia="宋体" w:cs="Arial"/>
                <w:sz w:val="22"/>
                <w:szCs w:val="22"/>
                <w:lang w:val="en-US" w:eastAsia="zh-CN" w:bidi="ar-SA"/>
              </w:rPr>
              <w:t xml:space="preserve">等所有要求系统的对接，数据实时同步无误得 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主要系统对接完成，数据同步偶有延迟但可接受得 7-9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部分关键系统对接未完成，影响数据流通得 3-6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未实现有效对接得 0-2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标准符合性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完全满足</w:t>
            </w:r>
            <w:r>
              <w:rPr>
                <w:rFonts w:hint="eastAsia" w:ascii="宋体" w:hAnsi="宋体" w:eastAsia="宋体" w:cs="Arial"/>
                <w:sz w:val="22"/>
                <w:szCs w:val="22"/>
                <w:lang w:val="en-US" w:eastAsia="zh-CN" w:bidi="ar-SA"/>
              </w:rPr>
              <w:t xml:space="preserve">肺结节系统</w:t>
            </w:r>
            <w:r>
              <w:rPr>
                <w:rFonts w:hint="default" w:ascii="宋体" w:hAnsi="宋体" w:eastAsia="宋体" w:cs="Arial"/>
                <w:sz w:val="22"/>
                <w:szCs w:val="22"/>
                <w:lang w:val="en-US" w:eastAsia="zh-CN" w:bidi="ar-SA"/>
              </w:rPr>
              <w:t xml:space="preserve">所有条款得 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基本符合，仅次要指标需完善得 3-4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核心指标不达标得 1-2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未达到三级标准得 0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Height w:val="1909"/>
        </w:trPr>
        <w:tc>
          <w:tcPr>
            <w:tcMar>
              <w:left w:w="120" w:type="dxa"/>
              <w:top w:w="60" w:type="dxa"/>
              <w:right w:w="120" w:type="dxa"/>
              <w:bottom w:w="30" w:type="dxa"/>
            </w:tcMar>
            <w:tcW w:w="1426"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施工周期</w:t>
            </w:r>
            <w:r/>
          </w:p>
        </w:tc>
        <w:tc>
          <w:tcPr>
            <w:tcMar>
              <w:left w:w="120" w:type="dxa"/>
              <w:top w:w="60" w:type="dxa"/>
              <w:right w:w="120" w:type="dxa"/>
              <w:bottom w:w="30" w:type="dxa"/>
            </w:tcMar>
            <w:tcW w:w="870"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10 分</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工期履约情况</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在 </w:t>
            </w:r>
            <w:r>
              <w:rPr>
                <w:rFonts w:hint="eastAsia" w:ascii="宋体" w:hAnsi="宋体" w:eastAsia="宋体" w:cs="Arial"/>
                <w:sz w:val="22"/>
                <w:szCs w:val="22"/>
                <w:lang w:val="en-US" w:eastAsia="zh-CN" w:bidi="ar-SA"/>
              </w:rPr>
              <w:t xml:space="preserve">270</w:t>
            </w:r>
            <w:r>
              <w:rPr>
                <w:rFonts w:hint="default" w:ascii="宋体" w:hAnsi="宋体" w:eastAsia="宋体" w:cs="Arial"/>
                <w:sz w:val="22"/>
                <w:szCs w:val="22"/>
                <w:lang w:val="en-US" w:eastAsia="zh-CN" w:bidi="ar-SA"/>
              </w:rPr>
              <w:t xml:space="preserve"> 天内按时或提前完成系统上线得 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延迟≤</w:t>
            </w:r>
            <w:r>
              <w:rPr>
                <w:rFonts w:hint="eastAsia" w:ascii="宋体" w:hAnsi="宋体" w:eastAsia="宋体" w:cs="Arial"/>
                <w:sz w:val="22"/>
                <w:szCs w:val="22"/>
                <w:lang w:val="en-US" w:eastAsia="zh-CN" w:bidi="ar-SA"/>
              </w:rPr>
              <w:t xml:space="preserve">30</w:t>
            </w:r>
            <w:r>
              <w:rPr>
                <w:rFonts w:hint="default" w:ascii="宋体" w:hAnsi="宋体" w:eastAsia="宋体" w:cs="Arial"/>
                <w:sz w:val="22"/>
                <w:szCs w:val="22"/>
                <w:lang w:val="en-US" w:eastAsia="zh-CN" w:bidi="ar-SA"/>
              </w:rPr>
              <w:t xml:space="preserve"> 天且原因合理得 4-5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延迟 </w:t>
            </w:r>
            <w:r>
              <w:rPr>
                <w:rFonts w:hint="eastAsia" w:ascii="宋体" w:hAnsi="宋体" w:eastAsia="宋体" w:cs="Arial"/>
                <w:sz w:val="22"/>
                <w:szCs w:val="22"/>
                <w:lang w:val="en-US" w:eastAsia="zh-CN" w:bidi="ar-SA"/>
              </w:rPr>
              <w:t xml:space="preserve">31</w:t>
            </w: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60</w:t>
            </w:r>
            <w:r>
              <w:rPr>
                <w:rFonts w:hint="default" w:ascii="宋体" w:hAnsi="宋体" w:eastAsia="宋体" w:cs="Arial"/>
                <w:sz w:val="22"/>
                <w:szCs w:val="22"/>
                <w:lang w:val="en-US" w:eastAsia="zh-CN" w:bidi="ar-SA"/>
              </w:rPr>
              <w:t xml:space="preserve"> 天得 2-3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延迟＞</w:t>
            </w:r>
            <w:r>
              <w:rPr>
                <w:rFonts w:hint="eastAsia" w:ascii="宋体" w:hAnsi="宋体" w:eastAsia="宋体" w:cs="Arial"/>
                <w:sz w:val="22"/>
                <w:szCs w:val="22"/>
                <w:lang w:val="en-US" w:eastAsia="zh-CN" w:bidi="ar-SA"/>
              </w:rPr>
              <w:t xml:space="preserve">60</w:t>
            </w:r>
            <w:r>
              <w:rPr>
                <w:rFonts w:hint="default" w:ascii="宋体" w:hAnsi="宋体" w:eastAsia="宋体" w:cs="Arial"/>
                <w:sz w:val="22"/>
                <w:szCs w:val="22"/>
                <w:lang w:val="en-US" w:eastAsia="zh-CN" w:bidi="ar-SA"/>
              </w:rPr>
              <w:t xml:space="preserve"> 天得 0-1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以</w:t>
            </w:r>
            <w:r>
              <w:rPr>
                <w:rFonts w:hint="eastAsia" w:ascii="宋体" w:hAnsi="宋体" w:eastAsia="宋体" w:cs="Arial"/>
                <w:sz w:val="22"/>
                <w:szCs w:val="22"/>
                <w:lang w:val="en-US" w:eastAsia="zh-CN" w:bidi="ar-SA"/>
              </w:rPr>
              <w:t xml:space="preserve">启动会时间</w:t>
            </w:r>
            <w:r>
              <w:rPr>
                <w:rFonts w:hint="default" w:ascii="宋体" w:hAnsi="宋体" w:eastAsia="宋体" w:cs="Arial"/>
                <w:sz w:val="22"/>
                <w:szCs w:val="22"/>
                <w:lang w:val="en-US" w:eastAsia="zh-CN" w:bidi="ar-SA"/>
              </w:rPr>
              <w:t xml:space="preserve">和实际上线日期为依据</w:t>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进度管理规范性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制定详细实施计划，关键节点 100% 按计划完成得 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计划完善，次要节点有延迟但不影响整体得 2-3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计划不明确，关键节点失控得 1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无有效进度管理得 0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服务质量</w:t>
            </w:r>
            <w:r/>
          </w:p>
        </w:tc>
        <w:tc>
          <w:tcPr>
            <w:tcMar>
              <w:left w:w="120" w:type="dxa"/>
              <w:top w:w="60" w:type="dxa"/>
              <w:right w:w="120" w:type="dxa"/>
              <w:bottom w:w="30" w:type="dxa"/>
            </w:tcMar>
            <w:tcW w:w="870"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20 分</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培训服务效果</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10</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完成对使用人员、管理人员的全面培训，用户 100% 掌握操作得 </w:t>
            </w:r>
            <w:r>
              <w:rPr>
                <w:rFonts w:hint="eastAsia" w:ascii="宋体" w:hAnsi="宋体" w:eastAsia="宋体" w:cs="Arial"/>
                <w:sz w:val="22"/>
                <w:szCs w:val="22"/>
                <w:lang w:val="en-US" w:eastAsia="zh-CN" w:bidi="ar-SA"/>
              </w:rPr>
              <w:t xml:space="preserve">10</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培训充分，用户基本掌握核心操作得 </w:t>
            </w:r>
            <w:r>
              <w:rPr>
                <w:rFonts w:hint="eastAsia" w:ascii="宋体" w:hAnsi="宋体" w:eastAsia="宋体" w:cs="Arial"/>
                <w:sz w:val="22"/>
                <w:szCs w:val="22"/>
                <w:lang w:val="en-US" w:eastAsia="zh-CN" w:bidi="ar-SA"/>
              </w:rPr>
              <w:t xml:space="preserve">6</w:t>
            </w: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9</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培训不足，用户操作不熟练但可独立完成基础流程得 </w:t>
            </w:r>
            <w:r>
              <w:rPr>
                <w:rFonts w:hint="eastAsia" w:ascii="宋体" w:hAnsi="宋体" w:eastAsia="宋体" w:cs="Arial"/>
                <w:sz w:val="22"/>
                <w:szCs w:val="22"/>
                <w:lang w:val="en-US" w:eastAsia="zh-CN" w:bidi="ar-SA"/>
              </w:rPr>
              <w:t xml:space="preserve">3</w:t>
            </w: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5</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未开展有效培训得 0-</w:t>
            </w:r>
            <w:r>
              <w:rPr>
                <w:rFonts w:hint="eastAsia" w:ascii="宋体" w:hAnsi="宋体" w:eastAsia="宋体" w:cs="Arial"/>
                <w:sz w:val="22"/>
                <w:szCs w:val="22"/>
                <w:lang w:val="en-US" w:eastAsia="zh-CN" w:bidi="ar-SA"/>
              </w:rPr>
              <w:t xml:space="preserve">2</w:t>
            </w:r>
            <w:r>
              <w:rPr>
                <w:rFonts w:hint="default" w:ascii="宋体" w:hAnsi="宋体" w:eastAsia="宋体" w:cs="Arial"/>
                <w:sz w:val="22"/>
                <w:szCs w:val="22"/>
                <w:lang w:val="en-US" w:eastAsia="zh-CN" w:bidi="ar-SA"/>
              </w:rPr>
              <w:t xml:space="preserve">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文档交付完整性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10</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提供操作手册、接口文档等所有要求文档，规范易懂得</w:t>
            </w:r>
            <w:r>
              <w:rPr>
                <w:rFonts w:hint="eastAsia" w:ascii="宋体" w:hAnsi="宋体" w:eastAsia="宋体" w:cs="Arial"/>
                <w:sz w:val="22"/>
                <w:szCs w:val="22"/>
                <w:lang w:val="en-US" w:eastAsia="zh-CN" w:bidi="ar-SA"/>
              </w:rPr>
              <w:t xml:space="preserve">10</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核心文档完整，次要文档缺失得 </w:t>
            </w:r>
            <w:r>
              <w:rPr>
                <w:rFonts w:hint="eastAsia" w:ascii="宋体" w:hAnsi="宋体" w:eastAsia="宋体" w:cs="Arial"/>
                <w:sz w:val="22"/>
                <w:szCs w:val="22"/>
                <w:lang w:val="en-US" w:eastAsia="zh-CN" w:bidi="ar-SA"/>
              </w:rPr>
              <w:t xml:space="preserve">6</w:t>
            </w: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9</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关键文档缺失或不规范得 </w:t>
            </w:r>
            <w:r>
              <w:rPr>
                <w:rFonts w:hint="eastAsia" w:ascii="宋体" w:hAnsi="宋体" w:eastAsia="宋体" w:cs="Arial"/>
                <w:sz w:val="22"/>
                <w:szCs w:val="22"/>
                <w:lang w:val="en-US" w:eastAsia="zh-CN" w:bidi="ar-SA"/>
              </w:rPr>
              <w:t xml:space="preserve">3</w:t>
            </w:r>
            <w:r>
              <w:rPr>
                <w:rFonts w:hint="default" w:ascii="宋体" w:hAnsi="宋体" w:eastAsia="宋体" w:cs="Arial"/>
                <w:sz w:val="22"/>
                <w:szCs w:val="22"/>
                <w:lang w:val="en-US" w:eastAsia="zh-CN" w:bidi="ar-SA"/>
              </w:rPr>
              <w:t xml:space="preserve">-</w:t>
            </w:r>
            <w:r>
              <w:rPr>
                <w:rFonts w:hint="eastAsia" w:ascii="宋体" w:hAnsi="宋体" w:eastAsia="宋体" w:cs="Arial"/>
                <w:sz w:val="22"/>
                <w:szCs w:val="22"/>
                <w:lang w:val="en-US" w:eastAsia="zh-CN" w:bidi="ar-SA"/>
              </w:rPr>
              <w:t xml:space="preserve">5</w:t>
            </w:r>
            <w:r>
              <w:rPr>
                <w:rFonts w:hint="default" w:ascii="宋体" w:hAnsi="宋体" w:eastAsia="宋体" w:cs="Arial"/>
                <w:sz w:val="22"/>
                <w:szCs w:val="22"/>
                <w:lang w:val="en-US" w:eastAsia="zh-CN" w:bidi="ar-SA"/>
              </w:rPr>
              <w:t xml:space="preserve">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未交付文档得 0-</w:t>
            </w:r>
            <w:r>
              <w:rPr>
                <w:rFonts w:hint="eastAsia" w:ascii="宋体" w:hAnsi="宋体" w:eastAsia="宋体" w:cs="Arial"/>
                <w:sz w:val="22"/>
                <w:szCs w:val="22"/>
                <w:lang w:val="en-US" w:eastAsia="zh-CN" w:bidi="ar-SA"/>
              </w:rPr>
              <w:t xml:space="preserve">2</w:t>
            </w:r>
            <w:r>
              <w:rPr>
                <w:rFonts w:hint="default" w:ascii="宋体" w:hAnsi="宋体" w:eastAsia="宋体" w:cs="Arial"/>
                <w:sz w:val="22"/>
                <w:szCs w:val="22"/>
                <w:lang w:val="en-US" w:eastAsia="zh-CN" w:bidi="ar-SA"/>
              </w:rPr>
              <w:t xml:space="preserve">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响应与维护</w:t>
            </w:r>
            <w:r/>
          </w:p>
        </w:tc>
        <w:tc>
          <w:tcPr>
            <w:tcMar>
              <w:left w:w="120" w:type="dxa"/>
              <w:top w:w="60" w:type="dxa"/>
              <w:right w:w="120" w:type="dxa"/>
              <w:bottom w:w="30" w:type="dxa"/>
            </w:tcMar>
            <w:tcW w:w="870"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25 分</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故障响应及时性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- 7*24 小时即时响应，重大故障 1 小时内处理、6 小时内修复得 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响应及时，多数故障按承诺时间修复得 7-9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响应延迟，修复时间超出承诺但可接受得 3-6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无有效响应或长期未修复得 0-2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维保期服务履行</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按约定提供 1 年免费维护，主动进行数据备份、系统优化得 10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基本履行维保义务，需用户提醒得 7-9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部分维保承诺未履行（如未定期备份）得 3-6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未提供维保服务得 0-2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问题解决有效性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所有反馈问题一次性解决，无复发得 5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多数问题解决，偶有复发但可快速处理得 3-4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部分问题未解决或反复出现得 1-2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问题未处理得 0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整体效果</w:t>
            </w:r>
            <w:r/>
          </w:p>
        </w:tc>
        <w:tc>
          <w:tcPr>
            <w:tcMar>
              <w:left w:w="120" w:type="dxa"/>
              <w:top w:w="60" w:type="dxa"/>
              <w:right w:w="120" w:type="dxa"/>
              <w:bottom w:w="30" w:type="dxa"/>
            </w:tcMar>
            <w:tcW w:w="870" w:type="dxa"/>
            <w:vAlign w:val="center"/>
            <w:vMerge w:val="restart"/>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15 分</w:t>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lang w:val="en-US" w:eastAsia="zh-CN" w:bidi="ar-SA"/>
              </w:rPr>
              <w:t xml:space="preserve">业务科室</w:t>
            </w:r>
            <w:r>
              <w:rPr>
                <w:rFonts w:hint="default" w:ascii="宋体" w:hAnsi="宋体" w:eastAsia="宋体" w:cs="Arial"/>
                <w:sz w:val="22"/>
                <w:szCs w:val="22"/>
                <w:lang w:val="en-US" w:eastAsia="zh-CN" w:bidi="ar-SA"/>
              </w:rPr>
              <w:t xml:space="preserve">体验满意度</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（8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w:t>
            </w:r>
            <w:r>
              <w:rPr>
                <w:rFonts w:hint="eastAsia" w:ascii="宋体" w:hAnsi="宋体" w:eastAsia="宋体" w:cs="Arial"/>
                <w:sz w:val="22"/>
                <w:szCs w:val="22"/>
                <w:lang w:val="en-US" w:eastAsia="zh-CN" w:bidi="ar-SA"/>
              </w:rPr>
              <w:t xml:space="preserve">业务科室</w:t>
            </w:r>
            <w:r>
              <w:rPr>
                <w:rFonts w:hint="default" w:ascii="宋体" w:hAnsi="宋体" w:eastAsia="宋体" w:cs="Arial"/>
                <w:sz w:val="22"/>
                <w:szCs w:val="22"/>
                <w:lang w:val="en-US" w:eastAsia="zh-CN" w:bidi="ar-SA"/>
              </w:rPr>
              <w:t xml:space="preserve">满意度≥90% 得 8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- 70%≤满意度＜90% 得 5-7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- 50%≤满意度＜70% 得 2-4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满意度＜50% 得 0-1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870" w:type="dxa"/>
            <w:vAlign w:val="center"/>
            <w:vMerge w:val="continue"/>
            <w:textDirection w:val="lrTb"/>
            <w:noWrap w:val="false"/>
          </w:tcPr>
          <w:p>
            <w:pPr>
              <w:ind w:left="0" w:right="0" w:firstLine="420"/>
              <w:keepLines w:val="0"/>
              <w:keepNext w:val="0"/>
              <w:spacing w:before="120" w:beforeAutospacing="0" w:after="120" w:afterAutospacing="0" w:line="240" w:lineRule="auto"/>
              <w:rPr>
                <w:rFonts w:hint="eastAsia" w:ascii="宋体" w:hAnsi="宋体" w:eastAsia="宋体" w:cs="Arial"/>
                <w:sz w:val="22"/>
                <w:szCs w:val="22"/>
                <w:lang w:val="en-US" w:eastAsia="zh-CN" w:bidi="ar-SA"/>
              </w:rPr>
              <w:suppressLineNumbers w:val="0"/>
            </w:pPr>
            <w:r>
              <w:rPr>
                <w:rFonts w:hint="eastAsia" w:ascii="宋体" w:hAnsi="宋体" w:eastAsia="宋体" w:cs="Arial"/>
                <w:sz w:val="22"/>
                <w:szCs w:val="22"/>
                <w:lang w:val="en-US" w:eastAsia="zh-CN" w:bidi="ar-SA"/>
              </w:rPr>
            </w:r>
            <w:r/>
          </w:p>
        </w:tc>
        <w:tc>
          <w:tcPr>
            <w:tcMar>
              <w:left w:w="120" w:type="dxa"/>
              <w:top w:w="60" w:type="dxa"/>
              <w:right w:w="120" w:type="dxa"/>
              <w:bottom w:w="30" w:type="dxa"/>
            </w:tcMar>
            <w:tcW w:w="1424"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数据安全性</w:t>
            </w:r>
            <w:r/>
          </w:p>
        </w:tc>
        <w:tc>
          <w:tcPr>
            <w:gridSpan w:val="2"/>
            <w:tcMar>
              <w:left w:w="120" w:type="dxa"/>
              <w:top w:w="60" w:type="dxa"/>
              <w:right w:w="120" w:type="dxa"/>
              <w:bottom w:w="30" w:type="dxa"/>
            </w:tcMar>
            <w:tcW w:w="574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（7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系统无数据泄露、权限漏洞，水印等安全功能正常运行得 7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存在 minor 安全隐患但已修复得 5-6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有未修复的安全风险得 2-4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发生数据安全事件得 0-1 分。</w:t>
            </w:r>
            <w:r/>
          </w:p>
        </w:tc>
        <w:tc>
          <w:tcPr>
            <w:tcMar>
              <w:left w:w="120" w:type="dxa"/>
              <w:top w:w="60" w:type="dxa"/>
              <w:right w:w="120" w:type="dxa"/>
              <w:bottom w:w="30" w:type="dxa"/>
            </w:tcMar>
            <w:tcW w:w="79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rPr>
            </w:r>
            <w:r/>
          </w:p>
        </w:tc>
      </w:tr>
      <w:tr>
        <w:trPr>
          <w:jc w:val="center"/>
        </w:trPr>
        <w:tc>
          <w:tcPr>
            <w:tcMar>
              <w:left w:w="120" w:type="dxa"/>
              <w:top w:w="60" w:type="dxa"/>
              <w:right w:w="120" w:type="dxa"/>
              <w:bottom w:w="30" w:type="dxa"/>
            </w:tcMar>
            <w:tcW w:w="1426"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总分</w:t>
            </w:r>
            <w:r/>
          </w:p>
        </w:tc>
        <w:tc>
          <w:tcPr>
            <w:gridSpan w:val="6"/>
            <w:tcMar>
              <w:left w:w="120" w:type="dxa"/>
              <w:top w:w="60" w:type="dxa"/>
              <w:right w:w="120" w:type="dxa"/>
              <w:bottom w:w="30" w:type="dxa"/>
            </w:tcMar>
            <w:tcW w:w="9539" w:type="dxa"/>
            <w:vAlign w:val="center"/>
            <w:textDirection w:val="lrTb"/>
            <w:noWrap w:val="false"/>
          </w:tcPr>
          <w:p>
            <w:pPr>
              <w:contextualSpacing w:val="0"/>
              <w:ind w:left="0" w:right="0" w:firstLine="88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分</w:t>
            </w:r>
            <w:r/>
          </w:p>
        </w:tc>
      </w:tr>
      <w:tr>
        <w:trPr>
          <w:jc w:val="center"/>
        </w:trPr>
        <w:tc>
          <w:tcPr>
            <w:tcMar>
              <w:left w:w="120" w:type="dxa"/>
              <w:top w:w="60" w:type="dxa"/>
              <w:right w:w="120" w:type="dxa"/>
              <w:bottom w:w="30" w:type="dxa"/>
            </w:tcMar>
            <w:tcW w:w="1426"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验收结论</w:t>
            </w:r>
            <w:r/>
          </w:p>
        </w:tc>
        <w:tc>
          <w:tcPr>
            <w:gridSpan w:val="6"/>
            <w:tcMar>
              <w:left w:w="120" w:type="dxa"/>
              <w:top w:w="60" w:type="dxa"/>
              <w:right w:w="120" w:type="dxa"/>
              <w:bottom w:w="30" w:type="dxa"/>
            </w:tcMar>
            <w:tcW w:w="9539"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合格（总分≥80 分）</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有条件合格（60≤总分＜80 分，需在____日内完成整改并复验）</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 不合格（总分＜60 分，需重新实施）</w:t>
            </w:r>
            <w:r/>
          </w:p>
        </w:tc>
      </w:tr>
      <w:tr>
        <w:trPr>
          <w:jc w:val="center"/>
        </w:trPr>
        <w:tc>
          <w:tcPr>
            <w:tcMar>
              <w:left w:w="120" w:type="dxa"/>
              <w:top w:w="60" w:type="dxa"/>
              <w:right w:w="120" w:type="dxa"/>
              <w:bottom w:w="30" w:type="dxa"/>
            </w:tcMar>
            <w:tcW w:w="1426"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b/>
                <w:bCs/>
                <w:sz w:val="22"/>
                <w:szCs w:val="22"/>
                <w:lang w:val="en-US" w:eastAsia="zh-CN" w:bidi="ar-SA"/>
              </w:rPr>
              <w:t xml:space="preserve">签字确认</w:t>
            </w:r>
            <w:r/>
          </w:p>
        </w:tc>
        <w:tc>
          <w:tcPr>
            <w:gridSpan w:val="3"/>
            <w:tcMar>
              <w:left w:w="120" w:type="dxa"/>
              <w:top w:w="60" w:type="dxa"/>
              <w:right w:w="120" w:type="dxa"/>
              <w:bottom w:w="30" w:type="dxa"/>
            </w:tcMar>
            <w:tcW w:w="4740"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甲方代表签字：_________</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日期：____年__月__日</w:t>
            </w:r>
            <w:r/>
          </w:p>
        </w:tc>
        <w:tc>
          <w:tcPr>
            <w:gridSpan w:val="3"/>
            <w:tcMar>
              <w:left w:w="120" w:type="dxa"/>
              <w:top w:w="60" w:type="dxa"/>
              <w:right w:w="120" w:type="dxa"/>
              <w:bottom w:w="30" w:type="dxa"/>
            </w:tcMar>
            <w:tcW w:w="4799" w:type="dxa"/>
            <w:vAlign w:val="center"/>
            <w:textDirection w:val="lrTb"/>
            <w:noWrap w:val="false"/>
          </w:tcPr>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eastAsia" w:ascii="宋体" w:hAnsi="宋体" w:eastAsia="宋体" w:cs="Arial"/>
                <w:sz w:val="22"/>
                <w:szCs w:val="22"/>
                <w:lang w:val="en-US" w:eastAsia="zh-CN" w:bidi="ar-SA"/>
              </w:rPr>
              <w:t xml:space="preserve">乙</w:t>
            </w:r>
            <w:r>
              <w:rPr>
                <w:rFonts w:hint="default" w:ascii="宋体" w:hAnsi="宋体" w:eastAsia="宋体" w:cs="Arial"/>
                <w:sz w:val="22"/>
                <w:szCs w:val="22"/>
                <w:lang w:val="en-US" w:eastAsia="zh-CN" w:bidi="ar-SA"/>
              </w:rPr>
              <w:t xml:space="preserve">方代表签字：_________</w:t>
            </w:r>
            <w:r/>
          </w:p>
          <w:p>
            <w:pPr>
              <w:contextualSpacing w:val="0"/>
              <w:ind w:left="0" w:right="0" w:firstLine="0"/>
              <w:jc w:val="left"/>
              <w:keepLines w:val="0"/>
              <w:keepNext w:val="0"/>
              <w:spacing w:before="120" w:beforeAutospacing="0" w:after="120" w:afterAutospacing="0" w:line="240" w:lineRule="auto"/>
              <w:rPr>
                <w:rFonts w:hint="eastAsia" w:ascii="宋体" w:hAnsi="宋体" w:eastAsia="宋体" w:cs="Arial"/>
                <w:sz w:val="22"/>
                <w:szCs w:val="22"/>
              </w:rPr>
              <w:suppressLineNumbers w:val="0"/>
            </w:pPr>
            <w:r>
              <w:rPr>
                <w:rFonts w:hint="default" w:ascii="宋体" w:hAnsi="宋体" w:eastAsia="宋体" w:cs="Arial"/>
                <w:sz w:val="22"/>
                <w:szCs w:val="22"/>
                <w:lang w:val="en-US" w:eastAsia="zh-CN" w:bidi="ar-SA"/>
              </w:rPr>
              <w:t xml:space="preserve">日期：____年__月__日</w:t>
            </w:r>
            <w:r/>
          </w:p>
        </w:tc>
      </w:tr>
    </w:tbl>
    <w:p>
      <w:pPr>
        <w:rPr>
          <w:rFonts w:hint="eastAsia"/>
          <w:lang w:val="en-US" w:eastAsia="zh-CN"/>
        </w:rPr>
      </w:pPr>
      <w:r>
        <w:rPr>
          <w:rFonts w:hint="eastAsia"/>
          <w:lang w:val="en-US" w:eastAsia="zh-CN"/>
        </w:rPr>
      </w:r>
      <w:r/>
    </w:p>
    <w:p>
      <w:pPr>
        <w:pStyle w:val="1102"/>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1109"/>
        <w:ind w:firstLine="523"/>
        <w:pageBreakBefore w:val="0"/>
        <w:spacing w:line="360" w:lineRule="auto"/>
        <w:rPr>
          <w:rFonts w:hint="eastAsia" w:ascii="宋体" w:hAnsi="宋体" w:eastAsia="宋体" w:cs="宋体"/>
          <w:sz w:val="28"/>
          <w:szCs w:val="28"/>
        </w:rPr>
      </w:pPr>
      <w:r/>
      <w:bookmarkStart w:id="175"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175"/>
      <w:r/>
      <w:r/>
    </w:p>
    <w:p>
      <w:pPr>
        <w:pStyle w:val="1109"/>
        <w:ind w:firstLine="448"/>
        <w:spacing w:before="60" w:after="60"/>
        <w:rPr>
          <w:rFonts w:ascii="宋体" w:hAnsi="宋体"/>
          <w:szCs w:val="21"/>
        </w:rPr>
      </w:pPr>
      <w:r>
        <w:rPr>
          <w:rFonts w:ascii="宋体" w:hAnsi="宋体"/>
          <w:szCs w:val="21"/>
        </w:rPr>
      </w:r>
      <w:r/>
    </w:p>
    <w:p>
      <w:pPr>
        <w:pStyle w:val="1164"/>
        <w:rPr>
          <w:rFonts w:hint="default"/>
          <w:lang w:val="en-US" w:eastAsia="zh-CN"/>
        </w:rPr>
      </w:pPr>
      <w:r>
        <w:rPr>
          <w:rFonts w:hint="default"/>
          <w:lang w:val="en-US" w:eastAsia="zh-CN"/>
        </w:rPr>
      </w:r>
      <w:r/>
    </w:p>
    <w:p>
      <w:pPr>
        <w:pStyle w:val="1110"/>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1110"/>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176"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03"/>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0"/>
        <w:jc w:val="both"/>
        <w:spacing w:line="240" w:lineRule="auto"/>
        <w:rPr>
          <w:rFonts w:hint="eastAsia" w:ascii="宋体" w:hAnsi="宋体" w:eastAsia="宋体" w:cs="宋体"/>
          <w:bCs/>
          <w:sz w:val="28"/>
          <w:szCs w:val="28"/>
        </w:rPr>
        <w:outlineLvl w:val="0"/>
      </w:pPr>
      <w:r>
        <w:rPr>
          <w:rFonts w:hint="eastAsia" w:ascii="宋体" w:hAnsi="宋体" w:eastAsia="宋体" w:cs="宋体"/>
          <w:b/>
          <w:bCs/>
          <w:sz w:val="28"/>
          <w:szCs w:val="28"/>
          <w:lang w:val="en-US" w:eastAsia="zh-CN"/>
        </w:rPr>
        <w:t xml:space="preserve">            </w:t>
      </w:r>
      <w:r>
        <w:rPr>
          <w:rFonts w:hint="eastAsia" w:ascii="宋体" w:hAnsi="宋体" w:eastAsia="宋体" w:cs="宋体"/>
          <w:sz w:val="28"/>
          <w:szCs w:val="28"/>
        </w:rPr>
        <w:t xml:space="preserve">常州市</w:t>
      </w:r>
      <w:r>
        <w:rPr>
          <w:rFonts w:hint="eastAsia" w:ascii="宋体" w:hAnsi="宋体" w:eastAsia="宋体" w:cs="宋体"/>
          <w:sz w:val="28"/>
          <w:szCs w:val="28"/>
          <w:lang w:eastAsia="zh-CN"/>
        </w:rPr>
        <w:t xml:space="preserve">金坛区政府</w:t>
      </w:r>
      <w:r>
        <w:rPr>
          <w:rFonts w:hint="eastAsia" w:ascii="宋体" w:hAnsi="宋体" w:eastAsia="宋体" w:cs="宋体"/>
          <w:sz w:val="28"/>
          <w:szCs w:val="28"/>
        </w:rPr>
        <w:t xml:space="preserve">采购合同（服务）（合同编号）</w:t>
      </w:r>
      <w:r/>
    </w:p>
    <w:p>
      <w:pPr>
        <w:ind w:firstLine="0"/>
        <w:jc w:val="both"/>
        <w:spacing w:before="120" w:after="120" w:line="57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甲方：（买方）_________</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乙方：（卖方）_________</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甲、乙双方根据常州市</w:t>
      </w:r>
      <w:r>
        <w:rPr>
          <w:rFonts w:hint="eastAsia" w:ascii="宋体" w:hAnsi="宋体" w:eastAsia="宋体" w:cs="宋体"/>
          <w:sz w:val="28"/>
          <w:szCs w:val="28"/>
          <w:lang w:eastAsia="zh-CN"/>
        </w:rPr>
        <w:t xml:space="preserve">金坛区</w:t>
      </w:r>
      <w:r>
        <w:rPr>
          <w:rFonts w:hint="eastAsia" w:ascii="宋体" w:hAnsi="宋体" w:eastAsia="宋体" w:cs="宋体"/>
          <w:sz w:val="28"/>
          <w:szCs w:val="28"/>
        </w:rPr>
        <w:t xml:space="preserve">政府采购中心</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项目公开招标的结果，签署本合同。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一、合同内容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 标的名称：</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1.2标的质量：</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1.3 标的数量（规模）：</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 履行时间（期限）：</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1.5 履行地点：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1.6履行方式：</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二、合同金额</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2.1本合同金额为（大写）：___________________________元整（_______________元）人民币或其他币种。</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三、技术资料</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3.1乙方应按招标文件规定的时间向甲方提供服务（包含与服务相关的货物）的有关技术资料。</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四、知识产权</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jc w:val="both"/>
        <w:widowControl w:val="off"/>
        <w:rPr>
          <w:rFonts w:hint="eastAsia" w:ascii="宋体" w:hAnsi="宋体" w:eastAsia="宋体" w:cs="宋体"/>
          <w:sz w:val="28"/>
          <w:szCs w:val="28"/>
          <w:u w:val="single"/>
          <w:lang w:val="en-US" w:eastAsia="zh-CN" w:bidi="ar-SA"/>
        </w:rPr>
      </w:pPr>
      <w:r>
        <w:rPr>
          <w:rFonts w:hint="eastAsia" w:ascii="宋体" w:hAnsi="宋体" w:eastAsia="宋体" w:cs="宋体"/>
          <w:sz w:val="28"/>
          <w:szCs w:val="28"/>
          <w:lang w:val="en-US" w:eastAsia="zh-CN" w:bidi="ar-SA"/>
        </w:rPr>
        <w:t xml:space="preserve">五、产权担保</w:t>
      </w:r>
      <w:r/>
    </w:p>
    <w:p>
      <w:pPr>
        <w:ind w:firstLine="640"/>
        <w:spacing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5.1乙方保证所交付的服务（包含与服务相关的货物）的所有权完全属于乙方且无任何抵押、查封等产权瑕疵。</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六、履约保证金</w:t>
      </w:r>
      <w:r/>
    </w:p>
    <w:p>
      <w:pPr>
        <w:ind w:firstLine="560"/>
        <w:spacing w:line="570" w:lineRule="exact"/>
        <w:rPr>
          <w:rFonts w:hint="eastAsia" w:ascii="宋体" w:hAnsi="宋体" w:eastAsia="宋体" w:cs="宋体"/>
          <w:i w:val="0"/>
          <w:iCs w:val="0"/>
          <w:sz w:val="28"/>
          <w:szCs w:val="28"/>
        </w:rPr>
      </w:pPr>
      <w:r>
        <w:rPr>
          <w:rFonts w:hint="eastAsia" w:ascii="宋体" w:hAnsi="宋体" w:eastAsia="宋体" w:cs="宋体"/>
          <w:i w:val="0"/>
          <w:iCs w:val="0"/>
          <w:sz w:val="28"/>
          <w:szCs w:val="28"/>
        </w:rPr>
        <w:t xml:space="preserve">本项目</w:t>
      </w:r>
      <w:r>
        <w:rPr>
          <w:rFonts w:hint="eastAsia" w:ascii="宋体" w:hAnsi="宋体" w:eastAsia="宋体" w:cs="宋体"/>
          <w:i w:val="0"/>
          <w:iCs w:val="0"/>
          <w:sz w:val="28"/>
          <w:szCs w:val="28"/>
          <w:u w:val="single"/>
        </w:rPr>
        <w:t xml:space="preserve">（收取）</w:t>
      </w:r>
      <w:r>
        <w:rPr>
          <w:rFonts w:hint="eastAsia" w:ascii="宋体" w:hAnsi="宋体" w:eastAsia="宋体" w:cs="宋体"/>
          <w:i w:val="0"/>
          <w:iCs w:val="0"/>
          <w:sz w:val="28"/>
          <w:szCs w:val="28"/>
        </w:rPr>
        <w:t xml:space="preserve">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6.1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6.2合同履行结束后，甲方应及时退还交纳的履约保证金。</w:t>
      </w:r>
      <w:r/>
    </w:p>
    <w:p>
      <w:pPr>
        <w:ind w:firstLine="56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6.2.1履约保证金退还方式：</w:t>
      </w:r>
      <w:r>
        <w:rPr>
          <w:rFonts w:hint="eastAsia" w:ascii="宋体" w:hAnsi="宋体" w:eastAsia="宋体" w:cs="宋体"/>
          <w:color w:val="0d1e0f"/>
          <w:sz w:val="28"/>
          <w:szCs w:val="28"/>
          <w:u w:val="single"/>
          <w:lang w:val="en-US" w:eastAsia="zh-CN"/>
        </w:rPr>
        <w:t xml:space="preserve">                            </w:t>
      </w:r>
      <w:r/>
    </w:p>
    <w:p>
      <w:pPr>
        <w:ind w:firstLine="56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6.2.2履约保证金退还时间：</w:t>
      </w:r>
      <w:r>
        <w:rPr>
          <w:rFonts w:hint="eastAsia" w:ascii="宋体" w:hAnsi="宋体" w:eastAsia="宋体" w:cs="宋体"/>
          <w:color w:val="0d1e0f"/>
          <w:sz w:val="28"/>
          <w:szCs w:val="28"/>
          <w:u w:val="single"/>
          <w:lang w:val="en-US" w:eastAsia="zh-CN"/>
        </w:rPr>
        <w:t xml:space="preserve">                            </w:t>
      </w:r>
      <w:r/>
    </w:p>
    <w:p>
      <w:pPr>
        <w:ind w:firstLine="56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6.2.3履约保证金退还条件：</w:t>
      </w:r>
      <w:r>
        <w:rPr>
          <w:rFonts w:hint="eastAsia" w:ascii="宋体" w:hAnsi="宋体" w:eastAsia="宋体" w:cs="宋体"/>
          <w:color w:val="0d1e0f"/>
          <w:sz w:val="28"/>
          <w:szCs w:val="28"/>
          <w:u w:val="single"/>
          <w:lang w:val="en-US" w:eastAsia="zh-CN"/>
        </w:rPr>
        <w:t xml:space="preserve">                            </w:t>
      </w:r>
      <w:r/>
    </w:p>
    <w:p>
      <w:pPr>
        <w:ind w:firstLine="560"/>
        <w:spacing w:line="570" w:lineRule="exact"/>
        <w:rPr>
          <w:rFonts w:hint="eastAsia" w:ascii="宋体" w:hAnsi="宋体" w:eastAsia="宋体" w:cs="宋体"/>
          <w:i w:val="0"/>
          <w:iCs w:val="0"/>
          <w:sz w:val="28"/>
          <w:szCs w:val="28"/>
        </w:rPr>
      </w:pPr>
      <w:r>
        <w:rPr>
          <w:rFonts w:hint="eastAsia" w:ascii="宋体" w:hAnsi="宋体" w:eastAsia="宋体" w:cs="宋体"/>
          <w:color w:val="0d1e0f"/>
          <w:sz w:val="28"/>
          <w:szCs w:val="28"/>
        </w:rPr>
        <w:t xml:space="preserve">6.2.4履约保证金不予退还的情形：</w:t>
      </w:r>
      <w:r>
        <w:rPr>
          <w:rFonts w:hint="eastAsia" w:ascii="宋体" w:hAnsi="宋体" w:eastAsia="宋体" w:cs="宋体"/>
          <w:color w:val="0d1e0f"/>
          <w:sz w:val="28"/>
          <w:szCs w:val="28"/>
          <w:u w:val="single"/>
          <w:lang w:val="en-US" w:eastAsia="zh-CN"/>
        </w:rPr>
        <w:t xml:space="preserve">                         </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七、合同转包或分包</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7.1乙方不得将合同标的转包给他人履行。</w:t>
      </w:r>
      <w:r/>
    </w:p>
    <w:p>
      <w:pPr>
        <w:ind w:firstLine="640"/>
        <w:spacing w:line="240" w:lineRule="auto"/>
        <w:rPr>
          <w:rFonts w:hint="eastAsia" w:ascii="宋体" w:hAnsi="宋体" w:eastAsia="宋体" w:cs="宋体"/>
          <w:i w:val="0"/>
          <w:iCs/>
          <w:sz w:val="28"/>
          <w:szCs w:val="28"/>
        </w:rPr>
      </w:pPr>
      <w:r>
        <w:rPr>
          <w:rFonts w:hint="eastAsia" w:ascii="宋体" w:hAnsi="宋体" w:eastAsia="宋体" w:cs="宋体"/>
          <w:sz w:val="28"/>
          <w:szCs w:val="28"/>
        </w:rPr>
        <w:t xml:space="preserve">7.2乙方不得将合同标的分包给他人履行。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7.3乙方如有转包或未经甲方同意的分包行为，甲方有权解除合同。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八、合同款项支付</w:t>
      </w:r>
      <w:r/>
    </w:p>
    <w:p>
      <w:pPr>
        <w:numPr>
          <w:ilvl w:val="0"/>
          <w:numId w:val="0"/>
        </w:numPr>
        <w:ind w:firstLine="560"/>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8.1分期付款：</w:t>
      </w:r>
      <w:r>
        <w:rPr>
          <w:rFonts w:hint="eastAsia" w:ascii="宋体" w:hAnsi="宋体" w:eastAsia="宋体" w:cs="宋体"/>
          <w:color w:val="ff0000"/>
          <w:sz w:val="28"/>
          <w:szCs w:val="28"/>
          <w:highlight w:val="white"/>
          <w:lang w:val="en-US" w:eastAsia="zh-CN"/>
        </w:rPr>
        <w:t xml:space="preserve">甲方应在乙方实际进场之日起30日内，向乙方支付合同总价的30%作为预付款。乙方在5个月内将该系统建设完成后，试运行3个月，试运行期满后若满足验收条件应书面通知采购人进行验收，甲方应在收到通知后15个工作日内组织验收；验收合格后30个工作日内，甲方向乙方支付合同总价的60%。自通过验收合格之日起，免费维保期满一年后，甲方向乙方支付剩余合同总价的10%。</w:t>
      </w:r>
      <w:r>
        <w:rPr>
          <w:rFonts w:hint="eastAsia" w:ascii="宋体" w:hAnsi="宋体" w:eastAsia="宋体" w:cs="宋体"/>
          <w:color w:val="ff0000"/>
          <w:sz w:val="28"/>
          <w:szCs w:val="28"/>
        </w:rPr>
        <w:t xml:space="preserve">满足合同约定支付条件的，自收到发票后10个工作日内支付。</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九、税费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9.1本合同执行中相关的一切税费均由乙方负担。</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十、项目验收</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10.1甲方依法组织履约验收工作。</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10.3对于实际使用人和甲方分离的项目，甲方邀请实际使用人参与验收。</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10.4如有必要，甲方邀请参加本项目的其他供应商或第三方专业机构及专家参与验收，相关意见将作为验收书的参考资料。</w:t>
      </w:r>
      <w:r/>
    </w:p>
    <w:p>
      <w:pPr>
        <w:ind w:left="0" w:right="0" w:firstLine="560"/>
        <w:spacing w:before="0" w:after="0" w:line="420" w:lineRule="atLeast"/>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10.5甲方成立验收小组，</w:t>
      </w:r>
      <w:r>
        <w:rPr>
          <w:rFonts w:hint="default" w:ascii="宋体" w:hAnsi="宋体" w:eastAsia="宋体" w:cs="宋体"/>
          <w:color w:val="000000"/>
          <w:sz w:val="28"/>
        </w:rPr>
        <w:t xml:space="preserve">采购人将参照《江苏省政府采购履约验收管理办法》及《常州市金坛第一人民医院</w:t>
      </w:r>
      <w:r>
        <w:rPr>
          <w:rFonts w:hint="eastAsia" w:ascii="宋体" w:hAnsi="宋体" w:eastAsia="宋体" w:cs="宋体"/>
          <w:color w:val="000000"/>
          <w:sz w:val="28"/>
          <w:lang w:val="en-US" w:eastAsia="zh-CN"/>
        </w:rPr>
        <w:t xml:space="preserve">数据指挥中心二期</w:t>
      </w:r>
      <w:r>
        <w:rPr>
          <w:rFonts w:hint="default" w:ascii="宋体" w:hAnsi="宋体" w:eastAsia="宋体" w:cs="宋体"/>
          <w:color w:val="000000"/>
          <w:sz w:val="28"/>
        </w:rPr>
        <w:t xml:space="preserve">项目考核细则》组织验收考核</w:t>
      </w:r>
      <w:r>
        <w:rPr>
          <w:rFonts w:hint="eastAsia" w:ascii="宋体" w:hAnsi="宋体" w:eastAsia="宋体" w:cs="宋体"/>
          <w:sz w:val="28"/>
          <w:szCs w:val="28"/>
          <w:lang w:val="en-US" w:eastAsia="zh-CN" w:bidi="ar-SA"/>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十一、违约责任</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11.1甲方无正当理由拒绝接受乙方提供服务的，甲方向乙方偿付拒绝接受服务合同价款总值的违约金。</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11.2甲方无故逾期验收和办理合同款项支付手续的,甲方应按逾期付款总额每日向乙方支付违约金。</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11.4乙方所提供服务的标准不符合合同规定及招标文件规定标准的，甲方有权拒绝接受服务，并可单方面解除合同。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十二、不可抗力事件处理</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12.1在合同有效期内，任何一方因不可抗力事件导致不能履行合同，则合同履行期可延长，其延长期与不可抗力影响期相同。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12.2不可抗力事件发生后，应立即通知对方，并寄送有关权威机构出具的证明。</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12.3不可抗力事件延续120天以上，双方应通过友好协商，确定是否继续履行合同。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十三、解决争议的方法</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13.1双方在签订、履行合同中所发生的一切争议，应通过友好协商解决。如协商不成，由甲方住所地人民法院管辖。</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十四、合同生效及其他</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14.1合同经双方法定代表人或授权委托代表人签字并加盖单位公章后生效。</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14.2本合同未尽事宜，遵照《中华人民共和国民法典》《中华人民共和国政府采购法》有关条文执行。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14.3本合同正本一式两份，具有同等法律效力，甲方、乙方各执一份。</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乙方：</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地址：</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法定代表人或授权代表：</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法定代表人或授权代表：</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联系电话：</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签订日期：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bookmarkStart w:id="177" w:name="_Hlt16619369"/>
      <w:r/>
      <w:bookmarkEnd w:id="177"/>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签订日期：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176"/>
      <w:r/>
      <w:r/>
    </w:p>
    <w:p>
      <w:pPr>
        <w:pStyle w:val="1103"/>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企业报价折扣证明—《中小企业声明函》或者《残疾人福利性单位声明函》或者监狱企业证明文件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178" w:name="_Toc9364"/>
      <w:r/>
      <w:bookmarkStart w:id="179" w:name="_Toc17140"/>
      <w:r/>
      <w:bookmarkStart w:id="180" w:name="_Toc21548"/>
      <w:r/>
      <w:bookmarkStart w:id="181" w:name="_Toc7710"/>
      <w:r/>
      <w:bookmarkStart w:id="182" w:name="_Toc28025"/>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04"/>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4"/>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1"/>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04"/>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30"/>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2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2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04"/>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eastAsia="宋体" w:cs="宋体"/>
          <w:sz w:val="28"/>
          <w:szCs w:val="28"/>
          <w:lang w:val="en-US" w:eastAsia="zh-CN"/>
        </w:rPr>
        <w:t xml:space="preserve">常州市金坛第一人民医院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2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2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21"/>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104"/>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21"/>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2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21"/>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2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2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2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104"/>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bookmarkStart w:id="185" w:name="_GoBack"/>
      <w:r/>
      <w:bookmarkEnd w:id="185"/>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10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2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2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2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0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183"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183"/>
            <w:r/>
            <w:r/>
          </w:p>
        </w:tc>
      </w:tr>
      <w:tr>
        <w:trPr>
          <w:trHeight w:val="403"/>
        </w:trPr>
        <w:tc>
          <w:tcPr>
            <w:tcW w:w="834" w:type="dxa"/>
            <w:vAlign w:val="center"/>
            <w:textDirection w:val="lrTb"/>
            <w:noWrap w:val="false"/>
          </w:tcPr>
          <w:p>
            <w:pPr>
              <w:ind w:left="0" w:right="0" w:firstLine="280"/>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28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104"/>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184" w:name="_Ref493492102"/>
      <w:r/>
      <w:r/>
    </w:p>
    <w:p>
      <w:pPr>
        <w:pStyle w:val="1121"/>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2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184"/>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常州市金坛第一人民医院</w:t>
      </w:r>
      <w:r>
        <w:rPr>
          <w:rFonts w:hint="eastAsia" w:ascii="宋体" w:hAnsi="宋体" w:eastAsia="宋体" w:cs="宋体"/>
          <w:sz w:val="28"/>
          <w:szCs w:val="28"/>
          <w:lang w:val="en-US" w:eastAsia="zh-CN"/>
        </w:rPr>
        <w:t xml:space="preserve"> </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0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2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04"/>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2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21"/>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2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6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2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2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4"/>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与评审相关的其他符合证明文件材料</w:t>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21"/>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21"/>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104"/>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178"/>
      <w:r/>
      <w:bookmarkEnd w:id="179"/>
      <w:r/>
      <w:bookmarkEnd w:id="180"/>
      <w:r/>
      <w:bookmarkEnd w:id="181"/>
      <w:r/>
      <w:bookmarkEnd w:id="182"/>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Fonts w:hint="eastAsia"/>
      </w:rPr>
    </w:pPr>
    <w:r>
      <w:rPr>
        <w:rFonts w:hint="eastAsia"/>
      </w:rPr>
    </w:r>
    <w:r/>
  </w:p>
  <w:p>
    <w:pPr>
      <w:pStyle w:val="1119"/>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Fonts w:hint="eastAsia"/>
      </w:rPr>
    </w:pPr>
    <w:r>
      <w:rPr>
        <w:rFonts w:hint="eastAsia"/>
      </w:rPr>
    </w:r>
    <w:r/>
  </w:p>
  <w:p>
    <w:pPr>
      <w:pStyle w:val="1119"/>
      <w:rPr>
        <w:rFonts w:hint="eastAsia"/>
      </w:rPr>
    </w:pPr>
    <w:r>
      <w:rPr>
        <w:rFonts w:hint="eastAsia"/>
      </w:rPr>
    </w:r>
    <w:r/>
  </w:p>
  <w:p>
    <w:pPr>
      <w:pStyle w:val="1119"/>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3">
    <w:multiLevelType w:val="hybridMultilevel"/>
    <w:lvl w:ilvl="0">
      <w:start w:val="1"/>
      <w:numFmt w:val="decimal"/>
      <w:isLgl w:val="false"/>
      <w:suff w:val="tab"/>
      <w:lvlText w:val="%1）"/>
      <w:lvlJc w:val="left"/>
      <w:pPr>
        <w:ind w:left="315" w:hanging="31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5">
    <w:name w:val="Heading 1 Char"/>
    <w:basedOn w:val="1106"/>
    <w:link w:val="1102"/>
    <w:uiPriority w:val="9"/>
    <w:rPr>
      <w:rFonts w:ascii="Arial" w:hAnsi="Arial" w:eastAsia="Arial" w:cs="Arial"/>
      <w:sz w:val="40"/>
      <w:szCs w:val="40"/>
    </w:rPr>
  </w:style>
  <w:style w:type="character" w:styleId="936">
    <w:name w:val="Heading 2 Char"/>
    <w:basedOn w:val="1106"/>
    <w:link w:val="1103"/>
    <w:uiPriority w:val="9"/>
    <w:rPr>
      <w:rFonts w:ascii="Arial" w:hAnsi="Arial" w:eastAsia="Arial" w:cs="Arial"/>
      <w:sz w:val="34"/>
    </w:rPr>
  </w:style>
  <w:style w:type="character" w:styleId="937">
    <w:name w:val="Heading 3 Char"/>
    <w:basedOn w:val="1106"/>
    <w:link w:val="1104"/>
    <w:uiPriority w:val="9"/>
    <w:rPr>
      <w:rFonts w:ascii="Arial" w:hAnsi="Arial" w:eastAsia="Arial" w:cs="Arial"/>
      <w:sz w:val="30"/>
      <w:szCs w:val="30"/>
    </w:rPr>
  </w:style>
  <w:style w:type="character" w:styleId="938">
    <w:name w:val="Heading 4 Char"/>
    <w:basedOn w:val="1106"/>
    <w:link w:val="1105"/>
    <w:uiPriority w:val="9"/>
    <w:rPr>
      <w:rFonts w:ascii="Arial" w:hAnsi="Arial" w:eastAsia="Arial" w:cs="Arial"/>
      <w:b/>
      <w:bCs/>
      <w:sz w:val="26"/>
      <w:szCs w:val="26"/>
    </w:rPr>
  </w:style>
  <w:style w:type="paragraph" w:styleId="939">
    <w:name w:val="Heading 5"/>
    <w:basedOn w:val="1101"/>
    <w:next w:val="1101"/>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basedOn w:val="1106"/>
    <w:link w:val="939"/>
    <w:uiPriority w:val="9"/>
    <w:rPr>
      <w:rFonts w:ascii="Arial" w:hAnsi="Arial" w:eastAsia="Arial" w:cs="Arial"/>
      <w:b/>
      <w:bCs/>
      <w:sz w:val="24"/>
      <w:szCs w:val="24"/>
    </w:rPr>
  </w:style>
  <w:style w:type="paragraph" w:styleId="941">
    <w:name w:val="Heading 6"/>
    <w:basedOn w:val="1101"/>
    <w:next w:val="1101"/>
    <w:link w:val="942"/>
    <w:uiPriority w:val="9"/>
    <w:unhideWhenUsed/>
    <w:qFormat/>
    <w:pPr>
      <w:keepLines/>
      <w:keepNext/>
      <w:spacing w:before="320" w:after="200"/>
      <w:outlineLvl w:val="5"/>
    </w:pPr>
    <w:rPr>
      <w:rFonts w:ascii="Arial" w:hAnsi="Arial" w:eastAsia="Arial" w:cs="Arial"/>
      <w:b/>
      <w:bCs/>
      <w:sz w:val="22"/>
      <w:szCs w:val="22"/>
    </w:rPr>
  </w:style>
  <w:style w:type="character" w:styleId="942">
    <w:name w:val="Heading 6 Char"/>
    <w:basedOn w:val="1106"/>
    <w:link w:val="941"/>
    <w:uiPriority w:val="9"/>
    <w:rPr>
      <w:rFonts w:ascii="Arial" w:hAnsi="Arial" w:eastAsia="Arial" w:cs="Arial"/>
      <w:b/>
      <w:bCs/>
      <w:sz w:val="22"/>
      <w:szCs w:val="22"/>
    </w:rPr>
  </w:style>
  <w:style w:type="paragraph" w:styleId="943">
    <w:name w:val="Heading 7"/>
    <w:basedOn w:val="1101"/>
    <w:next w:val="1101"/>
    <w:link w:val="944"/>
    <w:uiPriority w:val="9"/>
    <w:unhideWhenUsed/>
    <w:qFormat/>
    <w:pPr>
      <w:keepLines/>
      <w:keepNext/>
      <w:spacing w:before="320" w:after="200"/>
      <w:outlineLvl w:val="6"/>
    </w:pPr>
    <w:rPr>
      <w:rFonts w:ascii="Arial" w:hAnsi="Arial" w:eastAsia="Arial" w:cs="Arial"/>
      <w:b/>
      <w:bCs/>
      <w:i/>
      <w:iCs/>
      <w:sz w:val="22"/>
      <w:szCs w:val="22"/>
    </w:rPr>
  </w:style>
  <w:style w:type="character" w:styleId="944">
    <w:name w:val="Heading 7 Char"/>
    <w:basedOn w:val="1106"/>
    <w:link w:val="943"/>
    <w:uiPriority w:val="9"/>
    <w:rPr>
      <w:rFonts w:ascii="Arial" w:hAnsi="Arial" w:eastAsia="Arial" w:cs="Arial"/>
      <w:b/>
      <w:bCs/>
      <w:i/>
      <w:iCs/>
      <w:sz w:val="22"/>
      <w:szCs w:val="22"/>
    </w:rPr>
  </w:style>
  <w:style w:type="paragraph" w:styleId="945">
    <w:name w:val="Heading 8"/>
    <w:basedOn w:val="1101"/>
    <w:next w:val="1101"/>
    <w:link w:val="946"/>
    <w:uiPriority w:val="9"/>
    <w:unhideWhenUsed/>
    <w:qFormat/>
    <w:pPr>
      <w:keepLines/>
      <w:keepNext/>
      <w:spacing w:before="320" w:after="200"/>
      <w:outlineLvl w:val="7"/>
    </w:pPr>
    <w:rPr>
      <w:rFonts w:ascii="Arial" w:hAnsi="Arial" w:eastAsia="Arial" w:cs="Arial"/>
      <w:i/>
      <w:iCs/>
      <w:sz w:val="22"/>
      <w:szCs w:val="22"/>
    </w:rPr>
  </w:style>
  <w:style w:type="character" w:styleId="946">
    <w:name w:val="Heading 8 Char"/>
    <w:basedOn w:val="1106"/>
    <w:link w:val="945"/>
    <w:uiPriority w:val="9"/>
    <w:rPr>
      <w:rFonts w:ascii="Arial" w:hAnsi="Arial" w:eastAsia="Arial" w:cs="Arial"/>
      <w:i/>
      <w:iCs/>
      <w:sz w:val="22"/>
      <w:szCs w:val="22"/>
    </w:rPr>
  </w:style>
  <w:style w:type="paragraph" w:styleId="947">
    <w:name w:val="Heading 9"/>
    <w:basedOn w:val="1101"/>
    <w:next w:val="1101"/>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basedOn w:val="1106"/>
    <w:link w:val="947"/>
    <w:uiPriority w:val="9"/>
    <w:rPr>
      <w:rFonts w:ascii="Arial" w:hAnsi="Arial" w:eastAsia="Arial" w:cs="Arial"/>
      <w:i/>
      <w:iCs/>
      <w:sz w:val="21"/>
      <w:szCs w:val="21"/>
    </w:rPr>
  </w:style>
  <w:style w:type="paragraph" w:styleId="949">
    <w:name w:val="No Spacing"/>
    <w:uiPriority w:val="1"/>
    <w:qFormat/>
    <w:pPr>
      <w:spacing w:before="0" w:after="0" w:line="240" w:lineRule="auto"/>
    </w:pPr>
  </w:style>
  <w:style w:type="character" w:styleId="950">
    <w:name w:val="Title Char"/>
    <w:basedOn w:val="1106"/>
    <w:link w:val="1111"/>
    <w:uiPriority w:val="10"/>
    <w:rPr>
      <w:sz w:val="48"/>
      <w:szCs w:val="48"/>
    </w:rPr>
  </w:style>
  <w:style w:type="paragraph" w:styleId="951">
    <w:name w:val="Subtitle"/>
    <w:basedOn w:val="1101"/>
    <w:next w:val="1101"/>
    <w:link w:val="952"/>
    <w:uiPriority w:val="11"/>
    <w:qFormat/>
    <w:pPr>
      <w:spacing w:before="200" w:after="200"/>
    </w:pPr>
    <w:rPr>
      <w:sz w:val="24"/>
      <w:szCs w:val="24"/>
    </w:rPr>
  </w:style>
  <w:style w:type="character" w:styleId="952">
    <w:name w:val="Subtitle Char"/>
    <w:basedOn w:val="1106"/>
    <w:link w:val="951"/>
    <w:uiPriority w:val="11"/>
    <w:rPr>
      <w:sz w:val="24"/>
      <w:szCs w:val="24"/>
    </w:rPr>
  </w:style>
  <w:style w:type="character" w:styleId="953">
    <w:name w:val="Quote Char"/>
    <w:link w:val="1164"/>
    <w:uiPriority w:val="29"/>
    <w:rPr>
      <w:i/>
    </w:rPr>
  </w:style>
  <w:style w:type="paragraph" w:styleId="954">
    <w:name w:val="Intense Quote"/>
    <w:basedOn w:val="1101"/>
    <w:next w:val="1101"/>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name w:val="Intense Quote Char"/>
    <w:link w:val="954"/>
    <w:uiPriority w:val="30"/>
    <w:rPr>
      <w:i/>
    </w:rPr>
  </w:style>
  <w:style w:type="character" w:styleId="956">
    <w:name w:val="Header Char"/>
    <w:basedOn w:val="1106"/>
    <w:link w:val="1119"/>
    <w:uiPriority w:val="99"/>
  </w:style>
  <w:style w:type="character" w:styleId="957">
    <w:name w:val="Footer Char"/>
    <w:basedOn w:val="1106"/>
    <w:link w:val="1118"/>
    <w:uiPriority w:val="99"/>
  </w:style>
  <w:style w:type="paragraph" w:styleId="958">
    <w:name w:val="Caption"/>
    <w:basedOn w:val="1101"/>
    <w:next w:val="1101"/>
    <w:uiPriority w:val="35"/>
    <w:semiHidden/>
    <w:unhideWhenUsed/>
    <w:qFormat/>
    <w:pPr>
      <w:spacing w:line="276" w:lineRule="auto"/>
    </w:pPr>
    <w:rPr>
      <w:b/>
      <w:bCs/>
      <w:color w:val="4f81bd" w:themeColor="accent1"/>
      <w:sz w:val="18"/>
      <w:szCs w:val="18"/>
    </w:rPr>
  </w:style>
  <w:style w:type="character" w:styleId="959">
    <w:name w:val="Caption Char"/>
    <w:basedOn w:val="958"/>
    <w:link w:val="1118"/>
    <w:uiPriority w:val="99"/>
  </w:style>
  <w:style w:type="table" w:styleId="960">
    <w:name w:val="Table Grid Light"/>
    <w:basedOn w:val="11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1">
    <w:name w:val="Plain Table 1"/>
    <w:basedOn w:val="11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basedOn w:val="11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basedOn w:val="11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basedOn w:val="11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basedOn w:val="11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basedOn w:val="11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1 Light - Accent 1"/>
    <w:basedOn w:val="11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8">
    <w:name w:val="Grid Table 1 Light - Accent 2"/>
    <w:basedOn w:val="11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9">
    <w:name w:val="Grid Table 1 Light - Accent 3"/>
    <w:basedOn w:val="11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0">
    <w:name w:val="Grid Table 1 Light - Accent 4"/>
    <w:basedOn w:val="11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1">
    <w:name w:val="Grid Table 1 Light - Accent 5"/>
    <w:basedOn w:val="11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2">
    <w:name w:val="Grid Table 1 Light - Accent 6"/>
    <w:basedOn w:val="11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3">
    <w:name w:val="Grid Table 2"/>
    <w:basedOn w:val="11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4">
    <w:name w:val="Grid Table 2 - Accent 1"/>
    <w:basedOn w:val="11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5">
    <w:name w:val="Grid Table 2 - Accent 2"/>
    <w:basedOn w:val="11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2 - Accent 3"/>
    <w:basedOn w:val="11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2 - Accent 4"/>
    <w:basedOn w:val="11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2 - Accent 5"/>
    <w:basedOn w:val="11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9">
    <w:name w:val="Grid Table 2 - Accent 6"/>
    <w:basedOn w:val="11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0">
    <w:name w:val="Grid Table 3"/>
    <w:basedOn w:val="11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1"/>
    <w:basedOn w:val="11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2"/>
    <w:basedOn w:val="11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3"/>
    <w:basedOn w:val="11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4"/>
    <w:basedOn w:val="11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5"/>
    <w:basedOn w:val="11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6"/>
    <w:basedOn w:val="11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4"/>
    <w:basedOn w:val="11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name w:val="Grid Table 4 - Accent 1"/>
    <w:basedOn w:val="11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9">
    <w:name w:val="Grid Table 4 - Accent 2"/>
    <w:basedOn w:val="11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0">
    <w:name w:val="Grid Table 4 - Accent 3"/>
    <w:basedOn w:val="11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1">
    <w:name w:val="Grid Table 4 - Accent 4"/>
    <w:basedOn w:val="11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2">
    <w:name w:val="Grid Table 4 - Accent 5"/>
    <w:basedOn w:val="11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3">
    <w:name w:val="Grid Table 4 - Accent 6"/>
    <w:basedOn w:val="11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4">
    <w:name w:val="Grid Table 5 Dark"/>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5">
    <w:name w:val="Grid Table 5 Dark- Accent 1"/>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6">
    <w:name w:val="Grid Table 5 Dark - Accent 2"/>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7">
    <w:name w:val="Grid Table 5 Dark - Accent 3"/>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8">
    <w:name w:val="Grid Table 5 Dark- Accent 4"/>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9">
    <w:name w:val="Grid Table 5 Dark - Accent 5"/>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0">
    <w:name w:val="Grid Table 5 Dark - Accent 6"/>
    <w:basedOn w:val="11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1">
    <w:name w:val="Grid Table 6 Colorful"/>
    <w:basedOn w:val="11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2">
    <w:name w:val="Grid Table 6 Colorful - Accent 1"/>
    <w:basedOn w:val="11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3">
    <w:name w:val="Grid Table 6 Colorful - Accent 2"/>
    <w:basedOn w:val="11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4">
    <w:name w:val="Grid Table 6 Colorful - Accent 3"/>
    <w:basedOn w:val="11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5">
    <w:name w:val="Grid Table 6 Colorful - Accent 4"/>
    <w:basedOn w:val="11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6">
    <w:name w:val="Grid Table 6 Colorful - Accent 5"/>
    <w:basedOn w:val="11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7">
    <w:name w:val="Grid Table 6 Colorful - Accent 6"/>
    <w:basedOn w:val="11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7 Colorful"/>
    <w:basedOn w:val="11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Grid Table 7 Colorful - Accent 1"/>
    <w:basedOn w:val="11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0">
    <w:name w:val="Grid Table 7 Colorful - Accent 2"/>
    <w:basedOn w:val="11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7 Colorful - Accent 3"/>
    <w:basedOn w:val="11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7 Colorful - Accent 4"/>
    <w:basedOn w:val="11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7 Colorful - Accent 5"/>
    <w:basedOn w:val="11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4">
    <w:name w:val="Grid Table 7 Colorful - Accent 6"/>
    <w:basedOn w:val="11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5">
    <w:name w:val="List Table 1 Light"/>
    <w:basedOn w:val="11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1 Light - Accent 1"/>
    <w:basedOn w:val="11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7">
    <w:name w:val="List Table 1 Light - Accent 2"/>
    <w:basedOn w:val="11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8">
    <w:name w:val="List Table 1 Light - Accent 3"/>
    <w:basedOn w:val="11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9">
    <w:name w:val="List Table 1 Light - Accent 4"/>
    <w:basedOn w:val="11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0">
    <w:name w:val="List Table 1 Light - Accent 5"/>
    <w:basedOn w:val="11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1">
    <w:name w:val="List Table 1 Light - Accent 6"/>
    <w:basedOn w:val="11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2">
    <w:name w:val="List Table 2"/>
    <w:basedOn w:val="11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2 - Accent 1"/>
    <w:basedOn w:val="11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4">
    <w:name w:val="List Table 2 - Accent 2"/>
    <w:basedOn w:val="11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5">
    <w:name w:val="List Table 2 - Accent 3"/>
    <w:basedOn w:val="11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6">
    <w:name w:val="List Table 2 - Accent 4"/>
    <w:basedOn w:val="11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7">
    <w:name w:val="List Table 2 - Accent 5"/>
    <w:basedOn w:val="11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8">
    <w:name w:val="List Table 2 - Accent 6"/>
    <w:basedOn w:val="11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9">
    <w:name w:val="List Table 3"/>
    <w:basedOn w:val="11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3 - Accent 1"/>
    <w:basedOn w:val="11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3 - Accent 2"/>
    <w:basedOn w:val="11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2">
    <w:name w:val="List Table 3 - Accent 3"/>
    <w:basedOn w:val="11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3">
    <w:name w:val="List Table 3 - Accent 4"/>
    <w:basedOn w:val="11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4">
    <w:name w:val="List Table 3 - Accent 5"/>
    <w:basedOn w:val="11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5">
    <w:name w:val="List Table 3 - Accent 6"/>
    <w:basedOn w:val="11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6">
    <w:name w:val="List Table 4"/>
    <w:basedOn w:val="11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 Accent 1"/>
    <w:basedOn w:val="11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4 - Accent 2"/>
    <w:basedOn w:val="11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9">
    <w:name w:val="List Table 4 - Accent 3"/>
    <w:basedOn w:val="11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0">
    <w:name w:val="List Table 4 - Accent 4"/>
    <w:basedOn w:val="11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1">
    <w:name w:val="List Table 4 - Accent 5"/>
    <w:basedOn w:val="11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2">
    <w:name w:val="List Table 4 - Accent 6"/>
    <w:basedOn w:val="11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3">
    <w:name w:val="List Table 5 Dark"/>
    <w:basedOn w:val="11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1"/>
    <w:basedOn w:val="11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2"/>
    <w:basedOn w:val="11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3"/>
    <w:basedOn w:val="11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4"/>
    <w:basedOn w:val="11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5"/>
    <w:basedOn w:val="11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6"/>
    <w:basedOn w:val="11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6 Colorful"/>
    <w:basedOn w:val="11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1">
    <w:name w:val="List Table 6 Colorful - Accent 1"/>
    <w:basedOn w:val="11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2">
    <w:name w:val="List Table 6 Colorful - Accent 2"/>
    <w:basedOn w:val="11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3">
    <w:name w:val="List Table 6 Colorful - Accent 3"/>
    <w:basedOn w:val="11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4">
    <w:name w:val="List Table 6 Colorful - Accent 4"/>
    <w:basedOn w:val="11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5">
    <w:name w:val="List Table 6 Colorful - Accent 5"/>
    <w:basedOn w:val="11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6">
    <w:name w:val="List Table 6 Colorful - Accent 6"/>
    <w:basedOn w:val="11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7">
    <w:name w:val="List Table 7 Colorful"/>
    <w:basedOn w:val="11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8">
    <w:name w:val="List Table 7 Colorful - Accent 1"/>
    <w:basedOn w:val="11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9">
    <w:name w:val="List Table 7 Colorful - Accent 2"/>
    <w:basedOn w:val="11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0">
    <w:name w:val="List Table 7 Colorful - Accent 3"/>
    <w:basedOn w:val="11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1">
    <w:name w:val="List Table 7 Colorful - Accent 4"/>
    <w:basedOn w:val="11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2">
    <w:name w:val="List Table 7 Colorful - Accent 5"/>
    <w:basedOn w:val="11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3">
    <w:name w:val="List Table 7 Colorful - Accent 6"/>
    <w:basedOn w:val="11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4">
    <w:name w:val="Lined - Accent"/>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Lined - Accent 1"/>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Lined - Accent 2"/>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Lined - Accent 3"/>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Lined - Accent 4"/>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Lined - Accent 5"/>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Lined - Accent 6"/>
    <w:basedOn w:val="11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amp; Lined - Accent"/>
    <w:basedOn w:val="11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Bordered &amp; Lined - Accent 1"/>
    <w:basedOn w:val="11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Bordered &amp; Lined - Accent 2"/>
    <w:basedOn w:val="11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Bordered &amp; Lined - Accent 3"/>
    <w:basedOn w:val="11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Bordered &amp; Lined - Accent 4"/>
    <w:basedOn w:val="11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Bordered &amp; Lined - Accent 5"/>
    <w:basedOn w:val="11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Bordered &amp; Lined - Accent 6"/>
    <w:basedOn w:val="11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w:basedOn w:val="11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9">
    <w:name w:val="Bordered - Accent 1"/>
    <w:basedOn w:val="11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0">
    <w:name w:val="Bordered - Accent 2"/>
    <w:basedOn w:val="11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1">
    <w:name w:val="Bordered - Accent 3"/>
    <w:basedOn w:val="11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2">
    <w:name w:val="Bordered - Accent 4"/>
    <w:basedOn w:val="11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3">
    <w:name w:val="Bordered - Accent 5"/>
    <w:basedOn w:val="11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4">
    <w:name w:val="Bordered - Accent 6"/>
    <w:basedOn w:val="11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5">
    <w:name w:val="footnote text"/>
    <w:basedOn w:val="1101"/>
    <w:link w:val="1086"/>
    <w:uiPriority w:val="99"/>
    <w:semiHidden/>
    <w:unhideWhenUsed/>
    <w:pPr>
      <w:spacing w:after="40" w:line="240" w:lineRule="auto"/>
    </w:pPr>
    <w:rPr>
      <w:sz w:val="18"/>
    </w:rPr>
  </w:style>
  <w:style w:type="character" w:styleId="1086">
    <w:name w:val="Footnote Text Char"/>
    <w:link w:val="1085"/>
    <w:uiPriority w:val="99"/>
    <w:rPr>
      <w:sz w:val="18"/>
    </w:rPr>
  </w:style>
  <w:style w:type="character" w:styleId="1087">
    <w:name w:val="footnote reference"/>
    <w:basedOn w:val="1106"/>
    <w:uiPriority w:val="99"/>
    <w:unhideWhenUsed/>
    <w:rPr>
      <w:vertAlign w:val="superscript"/>
    </w:rPr>
  </w:style>
  <w:style w:type="paragraph" w:styleId="1088">
    <w:name w:val="endnote text"/>
    <w:basedOn w:val="1101"/>
    <w:link w:val="1089"/>
    <w:uiPriority w:val="99"/>
    <w:semiHidden/>
    <w:unhideWhenUsed/>
    <w:pPr>
      <w:spacing w:after="0" w:line="240" w:lineRule="auto"/>
    </w:pPr>
    <w:rPr>
      <w:sz w:val="20"/>
    </w:rPr>
  </w:style>
  <w:style w:type="character" w:styleId="1089">
    <w:name w:val="Endnote Text Char"/>
    <w:link w:val="1088"/>
    <w:uiPriority w:val="99"/>
    <w:rPr>
      <w:sz w:val="20"/>
    </w:rPr>
  </w:style>
  <w:style w:type="character" w:styleId="1090">
    <w:name w:val="endnote reference"/>
    <w:basedOn w:val="1106"/>
    <w:uiPriority w:val="99"/>
    <w:semiHidden/>
    <w:unhideWhenUsed/>
    <w:rPr>
      <w:vertAlign w:val="superscript"/>
    </w:rPr>
  </w:style>
  <w:style w:type="paragraph" w:styleId="1091">
    <w:name w:val="toc 2"/>
    <w:basedOn w:val="1101"/>
    <w:next w:val="1101"/>
    <w:uiPriority w:val="39"/>
    <w:unhideWhenUsed/>
    <w:pPr>
      <w:ind w:left="283" w:right="0" w:firstLine="0"/>
      <w:spacing w:after="57"/>
    </w:pPr>
  </w:style>
  <w:style w:type="paragraph" w:styleId="1092">
    <w:name w:val="toc 3"/>
    <w:basedOn w:val="1101"/>
    <w:next w:val="1101"/>
    <w:uiPriority w:val="39"/>
    <w:unhideWhenUsed/>
    <w:pPr>
      <w:ind w:left="567" w:right="0" w:firstLine="0"/>
      <w:spacing w:after="57"/>
    </w:pPr>
  </w:style>
  <w:style w:type="paragraph" w:styleId="1093">
    <w:name w:val="toc 4"/>
    <w:basedOn w:val="1101"/>
    <w:next w:val="1101"/>
    <w:uiPriority w:val="39"/>
    <w:unhideWhenUsed/>
    <w:pPr>
      <w:ind w:left="850" w:right="0" w:firstLine="0"/>
      <w:spacing w:after="57"/>
    </w:pPr>
  </w:style>
  <w:style w:type="paragraph" w:styleId="1094">
    <w:name w:val="toc 5"/>
    <w:basedOn w:val="1101"/>
    <w:next w:val="1101"/>
    <w:uiPriority w:val="39"/>
    <w:unhideWhenUsed/>
    <w:pPr>
      <w:ind w:left="1134" w:right="0" w:firstLine="0"/>
      <w:spacing w:after="57"/>
    </w:pPr>
  </w:style>
  <w:style w:type="paragraph" w:styleId="1095">
    <w:name w:val="toc 6"/>
    <w:basedOn w:val="1101"/>
    <w:next w:val="1101"/>
    <w:uiPriority w:val="39"/>
    <w:unhideWhenUsed/>
    <w:pPr>
      <w:ind w:left="1417" w:right="0" w:firstLine="0"/>
      <w:spacing w:after="57"/>
    </w:pPr>
  </w:style>
  <w:style w:type="paragraph" w:styleId="1096">
    <w:name w:val="toc 7"/>
    <w:basedOn w:val="1101"/>
    <w:next w:val="1101"/>
    <w:uiPriority w:val="39"/>
    <w:unhideWhenUsed/>
    <w:pPr>
      <w:ind w:left="1701" w:right="0" w:firstLine="0"/>
      <w:spacing w:after="57"/>
    </w:pPr>
  </w:style>
  <w:style w:type="paragraph" w:styleId="1097">
    <w:name w:val="toc 8"/>
    <w:basedOn w:val="1101"/>
    <w:next w:val="1101"/>
    <w:uiPriority w:val="39"/>
    <w:unhideWhenUsed/>
    <w:pPr>
      <w:ind w:left="1984" w:right="0" w:firstLine="0"/>
      <w:spacing w:after="57"/>
    </w:pPr>
  </w:style>
  <w:style w:type="paragraph" w:styleId="1098">
    <w:name w:val="toc 9"/>
    <w:basedOn w:val="1101"/>
    <w:next w:val="1101"/>
    <w:uiPriority w:val="39"/>
    <w:unhideWhenUsed/>
    <w:pPr>
      <w:ind w:left="2268" w:right="0" w:firstLine="0"/>
      <w:spacing w:after="57"/>
    </w:pPr>
  </w:style>
  <w:style w:type="paragraph" w:styleId="1099">
    <w:name w:val="TOC Heading"/>
    <w:uiPriority w:val="39"/>
    <w:unhideWhenUsed/>
  </w:style>
  <w:style w:type="paragraph" w:styleId="1100">
    <w:name w:val="table of figures"/>
    <w:basedOn w:val="1101"/>
    <w:next w:val="1101"/>
    <w:uiPriority w:val="99"/>
    <w:unhideWhenUsed/>
    <w:pPr>
      <w:spacing w:after="0" w:afterAutospacing="0"/>
    </w:pPr>
  </w:style>
  <w:style w:type="paragraph" w:styleId="1101"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02">
    <w:name w:val="Heading 1"/>
    <w:basedOn w:val="1101"/>
    <w:next w:val="1101"/>
    <w:link w:val="1129"/>
    <w:uiPriority w:val="9"/>
    <w:qFormat/>
    <w:pPr>
      <w:jc w:val="center"/>
      <w:keepNext/>
      <w:tabs>
        <w:tab w:val="left" w:pos="200" w:leader="none"/>
      </w:tabs>
      <w:outlineLvl w:val="0"/>
    </w:pPr>
    <w:rPr>
      <w:rFonts w:ascii="宋体" w:hAnsi="宋体" w:eastAsia="黑体" w:cs="Times New Roman"/>
      <w:b/>
      <w:sz w:val="84"/>
      <w:szCs w:val="20"/>
    </w:rPr>
  </w:style>
  <w:style w:type="paragraph" w:styleId="1103">
    <w:name w:val="Heading 2"/>
    <w:basedOn w:val="1104"/>
    <w:next w:val="1105"/>
    <w:link w:val="1132"/>
    <w:uiPriority w:val="9"/>
    <w:qFormat/>
    <w:pPr>
      <w:jc w:val="center"/>
      <w:keepNext/>
      <w:outlineLvl w:val="1"/>
    </w:pPr>
    <w:rPr>
      <w:rFonts w:ascii="Times New Roman" w:hAnsi="Times New Roman" w:eastAsia="黑体" w:cs="Times New Roman"/>
      <w:sz w:val="44"/>
      <w:szCs w:val="28"/>
    </w:rPr>
  </w:style>
  <w:style w:type="paragraph" w:styleId="1104">
    <w:name w:val="Heading 3"/>
    <w:basedOn w:val="1101"/>
    <w:next w:val="1101"/>
    <w:link w:val="1130"/>
    <w:uiPriority w:val="9"/>
    <w:qFormat/>
    <w:pPr>
      <w:jc w:val="center"/>
      <w:keepLines/>
      <w:keepNext/>
      <w:outlineLvl w:val="2"/>
    </w:pPr>
    <w:rPr>
      <w:rFonts w:ascii="Times New Roman" w:hAnsi="Times New Roman" w:eastAsia="黑体" w:cs="Times New Roman"/>
      <w:szCs w:val="32"/>
    </w:rPr>
  </w:style>
  <w:style w:type="paragraph" w:styleId="1105">
    <w:name w:val="Heading 4"/>
    <w:basedOn w:val="1101"/>
    <w:next w:val="1101"/>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06" w:default="1">
    <w:name w:val="Default Paragraph Font"/>
    <w:uiPriority w:val="0"/>
    <w:semiHidden/>
    <w:qFormat/>
  </w:style>
  <w:style w:type="table" w:styleId="110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08">
    <w:name w:val="table of authorities"/>
    <w:basedOn w:val="1101"/>
    <w:next w:val="1101"/>
    <w:uiPriority w:val="99"/>
    <w:qFormat/>
    <w:pPr>
      <w:ind w:left="420"/>
    </w:pPr>
    <w:rPr>
      <w:szCs w:val="20"/>
    </w:rPr>
  </w:style>
  <w:style w:type="paragraph" w:styleId="1109">
    <w:name w:val="Normal Indent"/>
    <w:basedOn w:val="1101"/>
    <w:next w:val="1110"/>
    <w:uiPriority w:val="0"/>
    <w:qFormat/>
    <w:pPr>
      <w:ind w:firstLine="420"/>
    </w:pPr>
    <w:rPr>
      <w:rFonts w:ascii="Calibri" w:hAnsi="Calibri" w:cs="Times New Roman"/>
      <w:sz w:val="24"/>
      <w:szCs w:val="20"/>
    </w:rPr>
  </w:style>
  <w:style w:type="paragraph" w:styleId="1110">
    <w:name w:val="Body Text"/>
    <w:basedOn w:val="1101"/>
    <w:next w:val="1111"/>
    <w:uiPriority w:val="0"/>
    <w:qFormat/>
    <w:rPr>
      <w:rFonts w:ascii="楷体_GB2312" w:hAnsi="Arial" w:eastAsia="楷体_GB2312" w:cs="Times New Roman"/>
      <w:sz w:val="28"/>
      <w:szCs w:val="20"/>
    </w:rPr>
  </w:style>
  <w:style w:type="paragraph" w:styleId="1111">
    <w:name w:val="Title"/>
    <w:basedOn w:val="1101"/>
    <w:next w:val="1101"/>
    <w:uiPriority w:val="99"/>
    <w:qFormat/>
    <w:pPr>
      <w:jc w:val="center"/>
      <w:spacing w:before="240" w:after="60"/>
      <w:outlineLvl w:val="0"/>
    </w:pPr>
    <w:rPr>
      <w:rFonts w:ascii="Cambria" w:hAnsi="Cambria" w:eastAsia="宋体"/>
      <w:b/>
      <w:bCs/>
      <w:sz w:val="32"/>
      <w:szCs w:val="32"/>
    </w:rPr>
  </w:style>
  <w:style w:type="paragraph" w:styleId="1112">
    <w:name w:val="annotation text"/>
    <w:basedOn w:val="1101"/>
    <w:uiPriority w:val="99"/>
    <w:qFormat/>
    <w:pPr>
      <w:jc w:val="left"/>
      <w:spacing w:line="280" w:lineRule="atLeast"/>
      <w:widowControl/>
      <w:tabs>
        <w:tab w:val="left" w:pos="1134" w:leader="none"/>
      </w:tabs>
    </w:pPr>
    <w:rPr>
      <w:rFonts w:eastAsia="PMingLiU"/>
      <w:sz w:val="24"/>
      <w:szCs w:val="20"/>
      <w:lang w:eastAsia="zh-TW"/>
    </w:rPr>
  </w:style>
  <w:style w:type="paragraph" w:styleId="1113">
    <w:name w:val="Body Text Indent"/>
    <w:basedOn w:val="1101"/>
    <w:uiPriority w:val="99"/>
    <w:qFormat/>
    <w:pPr>
      <w:ind w:left="960"/>
      <w:spacing w:line="700" w:lineRule="exact"/>
    </w:pPr>
    <w:rPr>
      <w:sz w:val="44"/>
    </w:rPr>
  </w:style>
  <w:style w:type="paragraph" w:styleId="1114">
    <w:name w:val="Block Text"/>
    <w:basedOn w:val="1101"/>
    <w:uiPriority w:val="0"/>
    <w:qFormat/>
    <w:pPr>
      <w:ind w:left="1440" w:right="1440"/>
      <w:spacing w:after="120"/>
    </w:pPr>
  </w:style>
  <w:style w:type="paragraph" w:styleId="1115">
    <w:name w:val="Plain Text"/>
    <w:basedOn w:val="1101"/>
    <w:uiPriority w:val="0"/>
    <w:qFormat/>
    <w:rPr>
      <w:rFonts w:ascii="宋体" w:hAnsi="Courier New" w:cs="Times New Roman"/>
      <w:sz w:val="20"/>
      <w:szCs w:val="20"/>
    </w:rPr>
  </w:style>
  <w:style w:type="paragraph" w:styleId="1116">
    <w:name w:val="Date"/>
    <w:basedOn w:val="1101"/>
    <w:next w:val="1101"/>
    <w:uiPriority w:val="0"/>
    <w:qFormat/>
    <w:rPr>
      <w:rFonts w:ascii="Times New Roman" w:hAnsi="Times New Roman"/>
      <w:szCs w:val="20"/>
    </w:rPr>
  </w:style>
  <w:style w:type="paragraph" w:styleId="1117">
    <w:name w:val="Body Text Indent 2"/>
    <w:basedOn w:val="1101"/>
    <w:uiPriority w:val="0"/>
    <w:qFormat/>
    <w:pPr>
      <w:ind w:firstLine="480"/>
      <w:spacing w:line="360" w:lineRule="exact"/>
    </w:pPr>
    <w:rPr>
      <w:rFonts w:ascii="宋体" w:hAnsi="宋体" w:cs="宋体"/>
      <w:sz w:val="24"/>
    </w:rPr>
  </w:style>
  <w:style w:type="paragraph" w:styleId="1118">
    <w:name w:val="Footer"/>
    <w:basedOn w:val="1101"/>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19">
    <w:name w:val="Header"/>
    <w:basedOn w:val="110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0">
    <w:name w:val="toc 1"/>
    <w:basedOn w:val="1101"/>
    <w:next w:val="1101"/>
    <w:uiPriority w:val="0"/>
    <w:qFormat/>
    <w:pPr>
      <w:spacing w:line="300" w:lineRule="exact"/>
    </w:pPr>
    <w:rPr>
      <w:rFonts w:ascii="宋体" w:hAnsi="宋体"/>
      <w:szCs w:val="21"/>
    </w:rPr>
  </w:style>
  <w:style w:type="paragraph" w:styleId="1121">
    <w:name w:val="Normal (Web)"/>
    <w:basedOn w:val="1101"/>
    <w:uiPriority w:val="99"/>
    <w:unhideWhenUsed/>
    <w:qFormat/>
    <w:pPr>
      <w:jc w:val="left"/>
      <w:spacing w:before="100" w:beforeAutospacing="1" w:after="100" w:afterAutospacing="1"/>
      <w:widowControl/>
    </w:pPr>
    <w:rPr>
      <w:rFonts w:ascii="宋体" w:hAnsi="宋体"/>
      <w:sz w:val="24"/>
    </w:rPr>
  </w:style>
  <w:style w:type="paragraph" w:styleId="1122">
    <w:name w:val="Body Text First Indent 2"/>
    <w:basedOn w:val="1101"/>
    <w:next w:val="1101"/>
    <w:uiPriority w:val="0"/>
    <w:qFormat/>
    <w:pPr>
      <w:ind w:left="420" w:firstLine="420"/>
      <w:spacing w:after="120" w:line="240" w:lineRule="auto"/>
    </w:pPr>
    <w:rPr>
      <w:sz w:val="21"/>
    </w:rPr>
  </w:style>
  <w:style w:type="table" w:styleId="1123">
    <w:name w:val="Table Grid"/>
    <w:basedOn w:val="1107"/>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4">
    <w:name w:val="Strong"/>
    <w:basedOn w:val="1106"/>
    <w:uiPriority w:val="0"/>
    <w:qFormat/>
    <w:rPr>
      <w:b/>
    </w:rPr>
  </w:style>
  <w:style w:type="character" w:styleId="1125">
    <w:name w:val="page number"/>
    <w:basedOn w:val="1106"/>
    <w:uiPriority w:val="0"/>
    <w:qFormat/>
    <w:rPr>
      <w:rFonts w:ascii="Times New Roman" w:hAnsi="Times New Roman" w:eastAsia="宋体" w:cs="Times New Roman"/>
    </w:rPr>
  </w:style>
  <w:style w:type="character" w:styleId="1126">
    <w:name w:val="FollowedHyperlink"/>
    <w:uiPriority w:val="0"/>
    <w:qFormat/>
    <w:rPr>
      <w:color w:val="333333"/>
      <w:u w:val="none"/>
    </w:rPr>
  </w:style>
  <w:style w:type="character" w:styleId="1127">
    <w:name w:val="Emphasis"/>
    <w:uiPriority w:val="0"/>
    <w:qFormat/>
    <w:rPr>
      <w:i/>
    </w:rPr>
  </w:style>
  <w:style w:type="character" w:styleId="1128">
    <w:name w:val="Hyperlink"/>
    <w:uiPriority w:val="99"/>
    <w:unhideWhenUsed/>
    <w:qFormat/>
    <w:rPr>
      <w:color w:val="333333"/>
      <w:u w:val="none"/>
    </w:rPr>
  </w:style>
  <w:style w:type="character" w:styleId="1129" w:customStyle="1">
    <w:name w:val="标题 1 Char"/>
    <w:link w:val="1102"/>
    <w:uiPriority w:val="9"/>
    <w:qFormat/>
    <w:rPr>
      <w:rFonts w:ascii="宋体" w:hAnsi="宋体" w:eastAsia="黑体" w:cs="Times New Roman"/>
      <w:b/>
      <w:sz w:val="84"/>
      <w:szCs w:val="20"/>
    </w:rPr>
  </w:style>
  <w:style w:type="character" w:styleId="1130" w:customStyle="1">
    <w:name w:val="标题 3 Char"/>
    <w:link w:val="1104"/>
    <w:uiPriority w:val="9"/>
    <w:qFormat/>
    <w:rPr>
      <w:rFonts w:ascii="Times New Roman" w:hAnsi="Times New Roman" w:eastAsia="黑体" w:cs="Times New Roman"/>
      <w:b/>
      <w:bCs/>
      <w:szCs w:val="32"/>
    </w:rPr>
  </w:style>
  <w:style w:type="paragraph" w:styleId="1131" w:customStyle="1">
    <w:name w:val="正文文本11"/>
    <w:basedOn w:val="1101"/>
    <w:next w:val="1101"/>
    <w:uiPriority w:val="0"/>
    <w:qFormat/>
    <w:rPr>
      <w:rFonts w:ascii="楷体_GB2312" w:hAnsi="Arial" w:eastAsia="楷体_GB2312" w:cs="Times New Roman"/>
      <w:sz w:val="28"/>
      <w:szCs w:val="20"/>
    </w:rPr>
  </w:style>
  <w:style w:type="character" w:styleId="1132" w:customStyle="1">
    <w:name w:val="标题 2 Char"/>
    <w:link w:val="1103"/>
    <w:uiPriority w:val="9"/>
    <w:qFormat/>
    <w:rPr>
      <w:rFonts w:ascii="Times New Roman" w:hAnsi="Times New Roman" w:eastAsia="黑体" w:cs="Times New Roman"/>
      <w:b/>
      <w:bCs/>
      <w:sz w:val="44"/>
      <w:szCs w:val="28"/>
    </w:rPr>
  </w:style>
  <w:style w:type="character" w:styleId="1133" w:customStyle="1">
    <w:name w:val="font11"/>
    <w:basedOn w:val="1106"/>
    <w:uiPriority w:val="0"/>
    <w:qFormat/>
    <w:rPr>
      <w:rFonts w:hint="eastAsia" w:ascii="宋体" w:hAnsi="宋体" w:eastAsia="宋体" w:cs="宋体"/>
      <w:color w:val="000000"/>
      <w:sz w:val="18"/>
      <w:szCs w:val="18"/>
      <w:u w:val="none"/>
    </w:rPr>
  </w:style>
  <w:style w:type="character" w:styleId="1134" w:customStyle="1">
    <w:name w:val="l-btn-left"/>
    <w:basedOn w:val="1106"/>
    <w:uiPriority w:val="0"/>
    <w:qFormat/>
  </w:style>
  <w:style w:type="character" w:styleId="1135" w:customStyle="1">
    <w:name w:val="font71"/>
    <w:uiPriority w:val="0"/>
    <w:qFormat/>
    <w:rPr>
      <w:rFonts w:hint="eastAsia" w:ascii="宋体" w:hAnsi="宋体" w:eastAsia="宋体" w:cs="宋体"/>
      <w:color w:val="000000"/>
      <w:sz w:val="22"/>
      <w:szCs w:val="22"/>
      <w:u w:val="none"/>
    </w:rPr>
  </w:style>
  <w:style w:type="character" w:styleId="1136" w:customStyle="1">
    <w:name w:val="font21"/>
    <w:basedOn w:val="1106"/>
    <w:uiPriority w:val="0"/>
    <w:qFormat/>
    <w:rPr>
      <w:rFonts w:hint="eastAsia" w:ascii="宋体" w:hAnsi="宋体" w:eastAsia="宋体" w:cs="宋体"/>
      <w:color w:val="000000"/>
      <w:sz w:val="18"/>
      <w:szCs w:val="18"/>
      <w:u w:val="none"/>
    </w:rPr>
  </w:style>
  <w:style w:type="character" w:styleId="1137" w:customStyle="1">
    <w:name w:val="font41"/>
    <w:uiPriority w:val="0"/>
    <w:qFormat/>
    <w:rPr>
      <w:rFonts w:hint="eastAsia" w:ascii="宋体" w:hAnsi="宋体" w:eastAsia="宋体" w:cs="宋体"/>
      <w:b/>
      <w:color w:val="000000"/>
      <w:sz w:val="24"/>
      <w:szCs w:val="24"/>
      <w:u w:val="none"/>
    </w:rPr>
  </w:style>
  <w:style w:type="character" w:styleId="1138" w:customStyle="1">
    <w:name w:val="current"/>
    <w:basedOn w:val="1106"/>
    <w:uiPriority w:val="0"/>
    <w:qFormat/>
    <w:rPr>
      <w:b/>
      <w:color w:val="05a7d8"/>
      <w:sz w:val="14"/>
      <w:szCs w:val="14"/>
    </w:rPr>
  </w:style>
  <w:style w:type="character" w:styleId="1139" w:customStyle="1">
    <w:name w:val="l-btn-text36"/>
    <w:basedOn w:val="1106"/>
    <w:uiPriority w:val="0"/>
    <w:qFormat/>
  </w:style>
  <w:style w:type="character" w:styleId="1140" w:customStyle="1">
    <w:name w:val="tree-title3"/>
    <w:basedOn w:val="1106"/>
    <w:uiPriority w:val="0"/>
    <w:qFormat/>
  </w:style>
  <w:style w:type="character" w:styleId="1141" w:customStyle="1">
    <w:name w:val="font31"/>
    <w:basedOn w:val="1106"/>
    <w:uiPriority w:val="0"/>
    <w:qFormat/>
    <w:rPr>
      <w:rFonts w:hint="default" w:ascii="Arial Narrow" w:hAnsi="Arial Narrow" w:eastAsia="Arial Narrow" w:cs="Arial Narrow"/>
      <w:color w:val="000000"/>
      <w:sz w:val="18"/>
      <w:szCs w:val="18"/>
      <w:u w:val="none"/>
    </w:rPr>
  </w:style>
  <w:style w:type="paragraph" w:styleId="1142" w:customStyle="1">
    <w:name w:val="正文字缩2字"/>
    <w:basedOn w:val="1101"/>
    <w:uiPriority w:val="0"/>
    <w:qFormat/>
    <w:pPr>
      <w:ind w:left="200" w:firstLine="200"/>
      <w:jc w:val="both"/>
      <w:spacing w:before="60" w:after="60" w:line="360" w:lineRule="auto"/>
    </w:pPr>
    <w:rPr>
      <w:szCs w:val="24"/>
    </w:rPr>
  </w:style>
  <w:style w:type="paragraph" w:styleId="1143">
    <w:name w:val="List Paragraph"/>
    <w:basedOn w:val="1101"/>
    <w:uiPriority w:val="99"/>
    <w:qFormat/>
    <w:pPr>
      <w:ind w:firstLine="420"/>
    </w:pPr>
    <w:rPr>
      <w:rFonts w:ascii="Calibri" w:hAnsi="Calibri" w:cs="Times New Roman"/>
      <w:sz w:val="21"/>
      <w:szCs w:val="22"/>
    </w:rPr>
  </w:style>
  <w:style w:type="paragraph" w:styleId="114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45" w:customStyle="1">
    <w:name w:val="图例"/>
    <w:basedOn w:val="1101"/>
    <w:uiPriority w:val="0"/>
    <w:qFormat/>
    <w:pPr>
      <w:jc w:val="center"/>
      <w:spacing w:before="120" w:after="120" w:line="360" w:lineRule="auto"/>
    </w:pPr>
    <w:rPr>
      <w:rFonts w:eastAsia="仿宋_GB2312"/>
      <w:b/>
      <w:sz w:val="24"/>
      <w:szCs w:val="20"/>
    </w:rPr>
  </w:style>
  <w:style w:type="paragraph" w:styleId="1146" w:customStyle="1">
    <w:name w:val="样式 标题 4 + 段前: 5 磅 段后: 5 磅 行距: 单倍行距"/>
    <w:basedOn w:val="1105"/>
    <w:uiPriority w:val="0"/>
    <w:qFormat/>
    <w:pPr>
      <w:spacing w:before="100" w:after="100" w:line="240" w:lineRule="auto"/>
    </w:pPr>
    <w:rPr>
      <w:rFonts w:cs="宋体"/>
      <w:szCs w:val="20"/>
    </w:rPr>
  </w:style>
  <w:style w:type="paragraph" w:styleId="114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48" w:customStyle="1">
    <w:name w:val="纯文本1"/>
    <w:basedOn w:val="1101"/>
    <w:uiPriority w:val="0"/>
    <w:qFormat/>
    <w:rPr>
      <w:rFonts w:ascii="宋体" w:hAnsi="Courier New" w:eastAsia="楷体_GB2312"/>
      <w:sz w:val="26"/>
    </w:rPr>
  </w:style>
  <w:style w:type="paragraph" w:styleId="1149" w:customStyle="1">
    <w:name w:val="WPSOffice手动目录 1"/>
    <w:uiPriority w:val="0"/>
    <w:qFormat/>
    <w:rPr>
      <w:rFonts w:ascii="Times New Roman" w:hAnsi="Times New Roman" w:eastAsia="宋体" w:cs="Times New Roman"/>
      <w:sz w:val="20"/>
      <w:szCs w:val="20"/>
    </w:rPr>
  </w:style>
  <w:style w:type="paragraph" w:styleId="1150" w:customStyle="1">
    <w:name w:val="Í¼±íÕýÎÄ"/>
    <w:basedOn w:val="1101"/>
    <w:next w:val="1109"/>
    <w:uiPriority w:val="0"/>
    <w:qFormat/>
    <w:pPr>
      <w:ind w:firstLine="420"/>
    </w:pPr>
    <w:rPr>
      <w:rFonts w:ascii="Times New Roman" w:hAnsi="Times New Roman" w:cs="Times New Roman"/>
      <w:sz w:val="24"/>
      <w:szCs w:val="20"/>
    </w:rPr>
  </w:style>
  <w:style w:type="paragraph" w:styleId="1151" w:customStyle="1">
    <w:name w:val="Plain Text"/>
    <w:basedOn w:val="1101"/>
    <w:uiPriority w:val="0"/>
    <w:qFormat/>
    <w:rPr>
      <w:rFonts w:ascii="宋体" w:hAnsi="Courier New" w:eastAsia="楷体_GB2312" w:cs="Times New Roman"/>
      <w:sz w:val="28"/>
      <w:szCs w:val="20"/>
    </w:rPr>
  </w:style>
  <w:style w:type="paragraph" w:styleId="1152" w:customStyle="1">
    <w:name w:val="TOC Heading1"/>
    <w:basedOn w:val="1102"/>
    <w:next w:val="110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3" w:customStyle="1">
    <w:name w:val="表格标题"/>
    <w:basedOn w:val="110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4" w:customStyle="1">
    <w:name w:val="Í¼¡À¡¡¡¡ì¬ªÕýÎÄ"/>
    <w:basedOn w:val="1101"/>
    <w:next w:val="1109"/>
    <w:uiPriority w:val="99"/>
    <w:qFormat/>
    <w:pPr>
      <w:ind w:firstLine="420"/>
    </w:pPr>
    <w:rPr>
      <w:rFonts w:ascii="Times New Roman" w:hAnsi="Times New Roman" w:cs="Times New Roman"/>
      <w:sz w:val="24"/>
      <w:szCs w:val="20"/>
    </w:rPr>
  </w:style>
  <w:style w:type="paragraph" w:styleId="1155" w:customStyle="1">
    <w:name w:val="目录 11"/>
    <w:basedOn w:val="1101"/>
    <w:next w:val="1101"/>
    <w:uiPriority w:val="39"/>
    <w:unhideWhenUsed/>
    <w:qFormat/>
    <w:pPr>
      <w:jc w:val="left"/>
      <w:spacing w:after="100" w:line="259" w:lineRule="auto"/>
      <w:widowControl/>
    </w:pPr>
    <w:rPr>
      <w:rFonts w:ascii="Calibri" w:hAnsi="Calibri" w:eastAsia="宋体"/>
      <w:sz w:val="22"/>
      <w:szCs w:val="22"/>
    </w:rPr>
  </w:style>
  <w:style w:type="paragraph" w:styleId="1156" w:customStyle="1">
    <w:name w:val="列出段落1"/>
    <w:basedOn w:val="1101"/>
    <w:uiPriority w:val="0"/>
    <w:qFormat/>
    <w:pPr>
      <w:ind w:firstLine="420"/>
    </w:pPr>
    <w:rPr>
      <w:color w:val="595959"/>
    </w:rPr>
  </w:style>
  <w:style w:type="paragraph" w:styleId="1157" w:customStyle="1">
    <w:name w:val=" Char1"/>
    <w:basedOn w:val="1101"/>
    <w:uiPriority w:val="0"/>
    <w:qFormat/>
    <w:pPr>
      <w:ind w:left="432" w:hanging="432"/>
      <w:tabs>
        <w:tab w:val="left" w:pos="432" w:leader="none"/>
      </w:tabs>
    </w:pPr>
    <w:rPr>
      <w:rFonts w:ascii="仿宋_GB2312" w:hAnsi="Tahoma" w:eastAsia="仿宋_GB2312"/>
      <w:color w:val="000000"/>
      <w:sz w:val="30"/>
      <w:szCs w:val="30"/>
    </w:rPr>
  </w:style>
  <w:style w:type="paragraph" w:styleId="1158" w:customStyle="1">
    <w:name w:val="样式1"/>
    <w:basedOn w:val="1101"/>
    <w:uiPriority w:val="0"/>
    <w:qFormat/>
    <w:pPr>
      <w:numPr>
        <w:ilvl w:val="0"/>
        <w:numId w:val="1"/>
      </w:numPr>
      <w:jc w:val="both"/>
      <w:spacing w:line="240" w:lineRule="auto"/>
    </w:pPr>
    <w:rPr>
      <w:rFonts w:ascii="宋体" w:hAnsi="宋体"/>
      <w:sz w:val="21"/>
      <w:szCs w:val="21"/>
    </w:rPr>
  </w:style>
  <w:style w:type="paragraph" w:styleId="1159" w:customStyle="1">
    <w:name w:val="Í¼¡À¡¡¡¡¡¡¨¬¬¬ªÕýÎÄ"/>
    <w:basedOn w:val="1101"/>
    <w:next w:val="1109"/>
    <w:uiPriority w:val="99"/>
    <w:qFormat/>
    <w:pPr>
      <w:ind w:firstLine="420"/>
    </w:pPr>
    <w:rPr>
      <w:rFonts w:ascii="Times New Roman" w:hAnsi="Times New Roman"/>
      <w:sz w:val="24"/>
      <w:szCs w:val="20"/>
    </w:rPr>
  </w:style>
  <w:style w:type="paragraph" w:styleId="1160" w:customStyle="1">
    <w:name w:val="段标题"/>
    <w:basedOn w:val="1101"/>
    <w:next w:val="1109"/>
    <w:uiPriority w:val="0"/>
    <w:qFormat/>
    <w:pPr>
      <w:jc w:val="left"/>
    </w:pPr>
    <w:rPr>
      <w:rFonts w:ascii="黑体" w:hAnsi="宋体" w:eastAsia="黑体"/>
    </w:rPr>
  </w:style>
  <w:style w:type="paragraph" w:styleId="1161" w:customStyle="1">
    <w:name w:val="样式 标题 1 + 宋体 居中 段前: 17 磅 段后: 16.5 磅"/>
    <w:basedOn w:val="1102"/>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2" w:customStyle="1">
    <w:name w:val="列出段落2"/>
    <w:basedOn w:val="1101"/>
    <w:uiPriority w:val="0"/>
    <w:qFormat/>
    <w:pPr>
      <w:ind w:firstLine="420"/>
    </w:pPr>
  </w:style>
  <w:style w:type="table" w:styleId="1163" w:customStyle="1">
    <w:name w:val="网格型1"/>
    <w:basedOn w:val="1107"/>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4">
    <w:name w:val="Quote"/>
    <w:next w:val="1101"/>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65" w:customStyle="1">
    <w:name w:val="普通(网站)11"/>
    <w:basedOn w:val="1101"/>
    <w:uiPriority w:val="99"/>
    <w:unhideWhenUsed/>
    <w:qFormat/>
    <w:pPr>
      <w:jc w:val="left"/>
      <w:spacing w:before="100" w:beforeAutospacing="1" w:after="100" w:afterAutospacing="1"/>
      <w:widowControl/>
    </w:pPr>
    <w:rPr>
      <w:rFonts w:ascii="宋体" w:hAnsi="宋体"/>
      <w:sz w:val="24"/>
    </w:rPr>
  </w:style>
  <w:style w:type="table" w:styleId="1166" w:customStyle="1">
    <w:name w:val="网格表 6 彩色1"/>
    <w:uiPriority w:val="51"/>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bottom w:val="single" w:color="666666" w:sz="12" w:space="0"/>
        </w:tcBorders>
      </w:tcPr>
    </w:tblStylePr>
    <w:tblStylePr w:type="lastCol">
      <w:rPr>
        <w:b/>
        <w:bCs/>
      </w:rPr>
    </w:tblStylePr>
    <w:tblStylePr w:type="lastRow">
      <w:rPr>
        <w:b/>
        <w:bCs/>
      </w:rPr>
      <w:tcPr>
        <w:tcBorders>
          <w:top w:val="single" w:color="666666" w:sz="4" w:space="0"/>
        </w:tcBorders>
      </w:tcPr>
    </w:tblStyle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2025-12-03T08:12:44Z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eyJoZGlkIjoiNDBiZjgzOTcwNGIwYmRkMjA2ODBiZGU3ZWJiYzIxNGQiLCJ1c2VySWQiOiI0NTQ1MjA1MDkifQ==</vt:lpwstr>
  </property>
</Properties>
</file>